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keepLines w:val="0"/>
        <w:pageBreakBefore w:val="0"/>
        <w:tabs>
          <w:tab w:val="right" w:pos="9282"/>
          <w:tab w:val="right" w:pos="9492"/>
          <w:tab w:val="clear" w:pos="4536"/>
          <w:tab w:val="clear" w:pos="9072"/>
        </w:tabs>
        <w:kinsoku/>
        <w:wordWrap/>
        <w:topLinePunct w:val="0"/>
        <w:bidi w:val="0"/>
        <w:snapToGrid w:val="0"/>
        <w:rPr>
          <w:rFonts w:hint="default" w:eastAsia="宋体"/>
          <w:sz w:val="22"/>
          <w:szCs w:val="22"/>
          <w:lang w:val="en-US" w:eastAsia="zh-CN"/>
        </w:rPr>
      </w:pPr>
      <w:r>
        <w:rPr>
          <w:sz w:val="22"/>
          <w:szCs w:val="22"/>
        </w:rPr>
        <w:t>3GPP TSG RAN Meeting #10</w:t>
      </w:r>
      <w:r>
        <w:rPr>
          <w:rFonts w:hint="eastAsia" w:eastAsiaTheme="minorEastAsia"/>
          <w:sz w:val="22"/>
          <w:szCs w:val="22"/>
          <w:lang w:val="en-US" w:eastAsia="zh-CN"/>
        </w:rPr>
        <w:t>6</w:t>
      </w:r>
      <w:r>
        <w:rPr>
          <w:rFonts w:ascii="Times New Roman" w:hAnsi="Times New Roman" w:eastAsia="宋体"/>
          <w:sz w:val="22"/>
          <w:szCs w:val="22"/>
          <w:lang w:eastAsia="zh-CN"/>
        </w:rPr>
        <w:tab/>
      </w:r>
      <w:r>
        <w:rPr>
          <w:rFonts w:eastAsia="宋体"/>
          <w:sz w:val="22"/>
          <w:szCs w:val="22"/>
          <w:lang w:eastAsia="zh-CN"/>
        </w:rPr>
        <w:t>RP-2</w:t>
      </w:r>
      <w:r>
        <w:rPr>
          <w:rFonts w:hint="eastAsia" w:eastAsia="宋体"/>
          <w:sz w:val="22"/>
          <w:szCs w:val="22"/>
          <w:lang w:eastAsia="zh-CN"/>
        </w:rPr>
        <w:t>4</w:t>
      </w:r>
      <w:r>
        <w:rPr>
          <w:rFonts w:hint="eastAsia" w:eastAsia="宋体"/>
          <w:sz w:val="22"/>
          <w:szCs w:val="22"/>
          <w:lang w:val="en-US" w:eastAsia="zh-CN"/>
        </w:rPr>
        <w:t>3171</w:t>
      </w:r>
    </w:p>
    <w:p>
      <w:pPr>
        <w:keepLines w:val="0"/>
        <w:pageBreakBefore w:val="0"/>
        <w:kinsoku/>
        <w:wordWrap/>
        <w:topLinePunct w:val="0"/>
        <w:bidi w:val="0"/>
        <w:snapToGrid w:val="0"/>
        <w:spacing w:line="240" w:lineRule="auto"/>
        <w:rPr>
          <w:rFonts w:ascii="Arial" w:hAnsi="Arial" w:eastAsiaTheme="minorEastAsia"/>
          <w:b/>
          <w:sz w:val="22"/>
        </w:rPr>
      </w:pPr>
      <w:r>
        <w:rPr>
          <w:rFonts w:ascii="Arial" w:hAnsi="Arial" w:eastAsia="MS Mincho" w:cs="Times New Roman"/>
          <w:b/>
          <w:sz w:val="22"/>
          <w:szCs w:val="22"/>
          <w:lang w:val="en-US" w:eastAsia="en-US" w:bidi="ar-SA"/>
        </w:rPr>
        <w:t>Madrid, Spain, December 9-12, 2</w:t>
      </w:r>
      <w:r>
        <w:rPr>
          <w:rFonts w:ascii="Arial" w:hAnsi="Arial"/>
          <w:b/>
          <w:sz w:val="22"/>
        </w:rPr>
        <w:t>02</w:t>
      </w:r>
      <w:r>
        <w:rPr>
          <w:rFonts w:hint="eastAsia" w:ascii="Arial" w:hAnsi="Arial" w:eastAsiaTheme="minorEastAsia"/>
          <w:b/>
          <w:sz w:val="22"/>
        </w:rPr>
        <w:t>4</w:t>
      </w:r>
    </w:p>
    <w:p>
      <w:pPr>
        <w:pStyle w:val="18"/>
        <w:keepLines w:val="0"/>
        <w:pageBreakBefore w:val="0"/>
        <w:tabs>
          <w:tab w:val="left" w:pos="1805"/>
          <w:tab w:val="clear" w:pos="4536"/>
        </w:tabs>
        <w:kinsoku/>
        <w:wordWrap/>
        <w:topLinePunct w:val="0"/>
        <w:bidi w:val="0"/>
        <w:snapToGrid w:val="0"/>
        <w:spacing w:before="120"/>
        <w:ind w:left="1803" w:hanging="1803"/>
        <w:rPr>
          <w:rFonts w:ascii="Times New Roman" w:hAnsi="Times New Roman" w:eastAsiaTheme="minorEastAsia"/>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r>
        <w:rPr>
          <w:rFonts w:hint="eastAsia" w:eastAsiaTheme="minorEastAsia"/>
          <w:sz w:val="22"/>
          <w:szCs w:val="22"/>
          <w:lang w:eastAsia="zh-CN"/>
        </w:rPr>
        <w:t xml:space="preserve"> Corporation, Sanechips</w:t>
      </w:r>
      <w:bookmarkStart w:id="7" w:name="_GoBack"/>
      <w:bookmarkEnd w:id="7"/>
    </w:p>
    <w:p>
      <w:pPr>
        <w:pStyle w:val="18"/>
        <w:keepLines w:val="0"/>
        <w:pageBreakBefore w:val="0"/>
        <w:tabs>
          <w:tab w:val="left" w:pos="1800"/>
        </w:tabs>
        <w:kinsoku/>
        <w:wordWrap/>
        <w:topLinePunct w:val="0"/>
        <w:bidi w:val="0"/>
        <w:snapToGrid w:val="0"/>
        <w:ind w:left="1840" w:hanging="1833" w:hangingChars="833"/>
        <w:rPr>
          <w:rFonts w:ascii="Times New Roman" w:hAnsi="Times New Roman" w:eastAsiaTheme="minorEastAsia"/>
          <w:bCs/>
          <w:sz w:val="22"/>
          <w:szCs w:val="22"/>
          <w:lang w:eastAsia="zh-CN"/>
        </w:rPr>
      </w:pPr>
      <w:r>
        <w:rPr>
          <w:sz w:val="22"/>
          <w:szCs w:val="22"/>
          <w:lang w:eastAsia="zh-CN"/>
        </w:rPr>
        <w:t>Title:</w:t>
      </w:r>
      <w:r>
        <w:rPr>
          <w:rFonts w:ascii="Times New Roman" w:hAnsi="Times New Roman" w:eastAsia="宋体"/>
          <w:bCs/>
          <w:sz w:val="22"/>
          <w:szCs w:val="22"/>
          <w:lang w:eastAsia="zh-CN"/>
        </w:rPr>
        <w:tab/>
      </w:r>
      <w:bookmarkStart w:id="0" w:name="OLE_LINK3"/>
      <w:r>
        <w:rPr>
          <w:rFonts w:hint="eastAsia" w:eastAsiaTheme="minorEastAsia"/>
          <w:sz w:val="22"/>
          <w:szCs w:val="22"/>
          <w:lang w:eastAsia="zh-CN"/>
        </w:rPr>
        <w:t>Views on RAN study for IMT-2030</w:t>
      </w:r>
      <w:bookmarkEnd w:id="0"/>
    </w:p>
    <w:p>
      <w:pPr>
        <w:pStyle w:val="18"/>
        <w:keepLines w:val="0"/>
        <w:pageBreakBefore w:val="0"/>
        <w:tabs>
          <w:tab w:val="left" w:pos="1800"/>
        </w:tabs>
        <w:kinsoku/>
        <w:wordWrap/>
        <w:topLinePunct w:val="0"/>
        <w:bidi w:val="0"/>
        <w:snapToGrid w:val="0"/>
        <w:rPr>
          <w:rFonts w:hint="default" w:ascii="Times New Roman" w:hAnsi="Times New Roman" w:eastAsiaTheme="minorEastAsia"/>
          <w:bCs/>
          <w:sz w:val="22"/>
          <w:szCs w:val="22"/>
          <w:lang w:val="en-US" w:eastAsia="zh-CN"/>
        </w:rPr>
      </w:pPr>
      <w:r>
        <w:rPr>
          <w:sz w:val="22"/>
          <w:szCs w:val="22"/>
          <w:lang w:eastAsia="zh-CN"/>
        </w:rPr>
        <w:t>Agenda Item:</w:t>
      </w:r>
      <w:r>
        <w:rPr>
          <w:rFonts w:ascii="Times New Roman" w:hAnsi="Times New Roman" w:eastAsia="宋体"/>
          <w:bCs/>
          <w:sz w:val="22"/>
          <w:szCs w:val="22"/>
          <w:lang w:eastAsia="zh-CN"/>
        </w:rPr>
        <w:tab/>
      </w:r>
      <w:r>
        <w:rPr>
          <w:rFonts w:hint="eastAsia" w:eastAsiaTheme="minorEastAsia"/>
          <w:sz w:val="22"/>
          <w:szCs w:val="22"/>
          <w:lang w:eastAsia="zh-CN"/>
        </w:rPr>
        <w:t>1</w:t>
      </w:r>
      <w:r>
        <w:rPr>
          <w:rFonts w:hint="eastAsia" w:eastAsiaTheme="minorEastAsia"/>
          <w:sz w:val="22"/>
          <w:szCs w:val="22"/>
          <w:lang w:val="en-US" w:eastAsia="zh-CN"/>
        </w:rPr>
        <w:t>6</w:t>
      </w:r>
    </w:p>
    <w:p>
      <w:pPr>
        <w:keepLines w:val="0"/>
        <w:pageBreakBefore w:val="0"/>
        <w:pBdr>
          <w:bottom w:val="single" w:color="auto" w:sz="6" w:space="1"/>
        </w:pBdr>
        <w:kinsoku/>
        <w:wordWrap/>
        <w:topLinePunct w:val="0"/>
        <w:bidi w:val="0"/>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361" w:beforeLines="100" w:after="361" w:afterLines="100" w:line="240" w:lineRule="auto"/>
        <w:ind w:left="425" w:hanging="425"/>
        <w:jc w:val="both"/>
        <w:textAlignment w:val="auto"/>
        <w:outlineLvl w:val="0"/>
        <w:rPr>
          <w:rFonts w:eastAsia="宋体"/>
          <w:b/>
          <w:sz w:val="28"/>
          <w:szCs w:val="28"/>
        </w:rPr>
      </w:pPr>
      <w:r>
        <w:rPr>
          <w:rFonts w:eastAsia="宋体"/>
          <w:b/>
          <w:sz w:val="28"/>
          <w:szCs w:val="28"/>
        </w:rPr>
        <w:t>Introduction</w:t>
      </w:r>
    </w:p>
    <w:p>
      <w:pPr>
        <w:keepNext w:val="0"/>
        <w:keepLines w:val="0"/>
        <w:pageBreakBefore w:val="0"/>
        <w:widowControl/>
        <w:kinsoku/>
        <w:wordWrap/>
        <w:overflowPunct/>
        <w:topLinePunct w:val="0"/>
        <w:bidi w:val="0"/>
        <w:snapToGrid w:val="0"/>
        <w:spacing w:before="120" w:beforeAutospacing="0" w:after="181" w:afterLines="50" w:line="240" w:lineRule="auto"/>
        <w:jc w:val="both"/>
        <w:textAlignment w:val="auto"/>
        <w:rPr>
          <w:rFonts w:eastAsia="微软雅黑"/>
          <w:szCs w:val="20"/>
          <w:lang w:val="en-GB"/>
        </w:rPr>
      </w:pPr>
      <w:r>
        <w:rPr>
          <w:rFonts w:hint="eastAsia" w:eastAsia="微软雅黑"/>
          <w:szCs w:val="20"/>
          <w:lang w:val="en-GB"/>
        </w:rPr>
        <w:t>I</w:t>
      </w:r>
      <w:r>
        <w:rPr>
          <w:rFonts w:eastAsia="微软雅黑"/>
          <w:szCs w:val="20"/>
          <w:lang w:val="en-GB"/>
        </w:rPr>
        <w:t>n RAN#10</w:t>
      </w:r>
      <w:r>
        <w:rPr>
          <w:rFonts w:hint="eastAsia" w:eastAsia="微软雅黑"/>
          <w:szCs w:val="20"/>
          <w:lang w:val="en-GB"/>
        </w:rPr>
        <w:t>3</w:t>
      </w:r>
      <w:r>
        <w:rPr>
          <w:rFonts w:eastAsia="微软雅黑"/>
          <w:szCs w:val="20"/>
          <w:lang w:val="en-GB"/>
        </w:rPr>
        <w:t xml:space="preserve">, </w:t>
      </w:r>
      <w:r>
        <w:rPr>
          <w:rFonts w:hint="eastAsia" w:eastAsia="微软雅黑"/>
          <w:szCs w:val="20"/>
          <w:lang w:val="en-GB"/>
        </w:rPr>
        <w:t>the following RAN plenary work plan was agreed for IMT-2030 aspects</w:t>
      </w:r>
      <w:r>
        <w:rPr>
          <w:rFonts w:eastAsia="微软雅黑"/>
          <w:szCs w:val="20"/>
          <w:lang w:val="en-GB"/>
        </w:rPr>
        <w:t>[1]</w:t>
      </w:r>
      <w:r>
        <w:rPr>
          <w:rFonts w:hint="eastAsia" w:eastAsia="微软雅黑"/>
          <w:szCs w:val="20"/>
          <w:lang w:val="en-GB"/>
        </w:rPr>
        <w:t xml:space="preserve">. </w:t>
      </w:r>
    </w:p>
    <w:p>
      <w:pPr>
        <w:keepNext w:val="0"/>
        <w:keepLines w:val="0"/>
        <w:pageBreakBefore w:val="0"/>
        <w:widowControl/>
        <w:kinsoku/>
        <w:wordWrap/>
        <w:overflowPunct/>
        <w:topLinePunct w:val="0"/>
        <w:bidi w:val="0"/>
        <w:snapToGrid w:val="0"/>
        <w:spacing w:before="120" w:beforeAutospacing="0" w:after="181" w:afterLines="50" w:line="240" w:lineRule="auto"/>
        <w:textAlignment w:val="auto"/>
        <w:rPr>
          <w:i/>
          <w:iCs/>
        </w:rPr>
      </w:pPr>
      <w:r>
        <w:rPr>
          <w:i/>
          <w:iCs/>
        </w:rPr>
        <w:t>RAN plenary work is split into an ITU focused SI (study item) and General RAN SI</w:t>
      </w:r>
    </w:p>
    <w:p>
      <w:pPr>
        <w:pStyle w:val="124"/>
        <w:keepNext w:val="0"/>
        <w:keepLines w:val="0"/>
        <w:pageBreakBefore w:val="0"/>
        <w:widowControl/>
        <w:numPr>
          <w:ilvl w:val="0"/>
          <w:numId w:val="8"/>
        </w:numPr>
        <w:kinsoku/>
        <w:wordWrap/>
        <w:overflowPunct/>
        <w:topLinePunct w:val="0"/>
        <w:bidi w:val="0"/>
        <w:snapToGrid w:val="0"/>
        <w:spacing w:before="120" w:beforeAutospacing="0" w:after="181" w:afterLines="50" w:line="240" w:lineRule="auto"/>
        <w:ind w:firstLineChars="0"/>
        <w:textAlignment w:val="auto"/>
        <w:rPr>
          <w:i/>
          <w:iCs/>
        </w:rPr>
      </w:pPr>
      <w:r>
        <w:rPr>
          <w:i/>
          <w:iCs/>
        </w:rPr>
        <w:t>IMT-2030 discussion is expected in RAN from 09/24 to 12/24</w:t>
      </w:r>
    </w:p>
    <w:p>
      <w:pPr>
        <w:pStyle w:val="124"/>
        <w:keepNext w:val="0"/>
        <w:keepLines w:val="0"/>
        <w:pageBreakBefore w:val="0"/>
        <w:widowControl/>
        <w:numPr>
          <w:ilvl w:val="0"/>
          <w:numId w:val="8"/>
        </w:numPr>
        <w:kinsoku/>
        <w:wordWrap/>
        <w:overflowPunct/>
        <w:topLinePunct w:val="0"/>
        <w:bidi w:val="0"/>
        <w:snapToGrid w:val="0"/>
        <w:spacing w:before="120" w:beforeAutospacing="0" w:after="181" w:afterLines="50" w:line="240" w:lineRule="auto"/>
        <w:ind w:firstLineChars="0"/>
        <w:textAlignment w:val="auto"/>
        <w:rPr>
          <w:i/>
          <w:iCs/>
        </w:rPr>
      </w:pPr>
      <w:r>
        <w:rPr>
          <w:i/>
          <w:iCs/>
        </w:rPr>
        <w:t>RP SI Rel-20 focusing on ITU– IMT-2030:  approval 12/24 until 06/25</w:t>
      </w:r>
    </w:p>
    <w:p>
      <w:pPr>
        <w:pStyle w:val="124"/>
        <w:keepNext w:val="0"/>
        <w:keepLines w:val="0"/>
        <w:pageBreakBefore w:val="0"/>
        <w:widowControl/>
        <w:numPr>
          <w:ilvl w:val="0"/>
          <w:numId w:val="8"/>
        </w:numPr>
        <w:kinsoku/>
        <w:wordWrap/>
        <w:overflowPunct/>
        <w:topLinePunct w:val="0"/>
        <w:bidi w:val="0"/>
        <w:snapToGrid w:val="0"/>
        <w:spacing w:before="120" w:beforeAutospacing="0" w:after="181" w:afterLines="50" w:line="240" w:lineRule="auto"/>
        <w:ind w:firstLineChars="0"/>
        <w:textAlignment w:val="auto"/>
      </w:pPr>
      <w:r>
        <w:rPr>
          <w:i/>
          <w:iCs/>
        </w:rPr>
        <w:t>RP SI Rel-20 focusing on 6G General: approval 03/25 (after WS), until 06/26</w:t>
      </w:r>
    </w:p>
    <w:p>
      <w:pPr>
        <w:keepNext w:val="0"/>
        <w:keepLines w:val="0"/>
        <w:pageBreakBefore w:val="0"/>
        <w:widowControl/>
        <w:kinsoku/>
        <w:wordWrap/>
        <w:overflowPunct/>
        <w:topLinePunct w:val="0"/>
        <w:bidi w:val="0"/>
        <w:snapToGrid w:val="0"/>
        <w:spacing w:before="120" w:beforeAutospacing="0" w:after="181" w:afterLines="50" w:line="240" w:lineRule="auto"/>
        <w:jc w:val="both"/>
        <w:textAlignment w:val="auto"/>
        <w:rPr>
          <w:rFonts w:eastAsia="微软雅黑"/>
          <w:szCs w:val="20"/>
          <w:lang w:val="en-GB"/>
        </w:rPr>
      </w:pPr>
      <w:r>
        <w:rPr>
          <w:rFonts w:hint="eastAsia" w:eastAsia="微软雅黑"/>
          <w:szCs w:val="20"/>
        </w:rPr>
        <w:t>I</w:t>
      </w:r>
      <w:r>
        <w:rPr>
          <w:rFonts w:eastAsia="微软雅黑"/>
          <w:szCs w:val="20"/>
        </w:rPr>
        <w:t>n this contribution, we elaborate</w:t>
      </w:r>
      <w:r>
        <w:rPr>
          <w:rFonts w:hint="eastAsia" w:eastAsia="微软雅黑"/>
          <w:szCs w:val="20"/>
        </w:rPr>
        <w:t xml:space="preserve"> our views on RAN study for IMT-2030.</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361" w:beforeLines="100" w:after="361" w:afterLines="100" w:line="240" w:lineRule="auto"/>
        <w:ind w:left="425" w:hanging="425"/>
        <w:jc w:val="both"/>
        <w:textAlignment w:val="auto"/>
        <w:outlineLvl w:val="0"/>
        <w:rPr>
          <w:rFonts w:eastAsia="宋体"/>
          <w:b/>
          <w:sz w:val="28"/>
          <w:szCs w:val="28"/>
        </w:rPr>
      </w:pPr>
      <w:r>
        <w:rPr>
          <w:rFonts w:eastAsia="宋体"/>
          <w:b/>
          <w:sz w:val="28"/>
          <w:szCs w:val="28"/>
        </w:rPr>
        <w:t xml:space="preserve">Discussion </w:t>
      </w:r>
    </w:p>
    <w:p>
      <w:pPr>
        <w:keepNext w:val="0"/>
        <w:keepLines w:val="0"/>
        <w:pageBreakBefore w:val="0"/>
        <w:widowControl/>
        <w:kinsoku/>
        <w:wordWrap/>
        <w:topLinePunct w:val="0"/>
        <w:bidi w:val="0"/>
        <w:snapToGrid w:val="0"/>
        <w:spacing w:before="181" w:beforeLines="50" w:after="181" w:afterLines="50" w:line="240" w:lineRule="auto"/>
        <w:jc w:val="both"/>
        <w:rPr>
          <w:i/>
        </w:rPr>
      </w:pPr>
      <w:r>
        <w:rPr>
          <w:rFonts w:hint="eastAsia" w:eastAsiaTheme="minorEastAsia"/>
        </w:rPr>
        <w:t xml:space="preserve">To gain some useful insight and facilitate potential scope discussion for the Rel-20 SI focusing ITU IMT-2030, it's worthwhile to review the 5G radio requirement study work, i.e. </w:t>
      </w:r>
      <w:r>
        <w:rPr>
          <w:rFonts w:eastAsiaTheme="minorEastAsia"/>
          <w:i/>
        </w:rPr>
        <w:t>Study on Scenarios and Requirements for Next Generation Access Technologies</w:t>
      </w:r>
      <w:r>
        <w:rPr>
          <w:rFonts w:hint="eastAsia" w:eastAsiaTheme="minorEastAsia"/>
        </w:rPr>
        <w:t>. The study consisted of the following major milestones:</w:t>
      </w:r>
    </w:p>
    <w:p>
      <w:pPr>
        <w:pStyle w:val="111"/>
        <w:keepNext w:val="0"/>
        <w:keepLines w:val="0"/>
        <w:pageBreakBefore w:val="0"/>
        <w:widowControl/>
        <w:numPr>
          <w:ilvl w:val="0"/>
          <w:numId w:val="9"/>
        </w:numPr>
        <w:kinsoku/>
        <w:wordWrap/>
        <w:topLinePunct w:val="0"/>
        <w:bidi w:val="0"/>
        <w:snapToGrid w:val="0"/>
        <w:spacing w:before="181" w:beforeLines="50" w:after="181" w:afterLines="50" w:line="240" w:lineRule="auto"/>
        <w:ind w:firstLineChars="0"/>
        <w:jc w:val="both"/>
        <w:rPr>
          <w:rFonts w:eastAsiaTheme="minorEastAsia"/>
        </w:rPr>
      </w:pPr>
      <w:r>
        <w:rPr>
          <w:rFonts w:hint="eastAsia" w:eastAsiaTheme="minorEastAsia"/>
        </w:rPr>
        <w:t xml:space="preserve">Approval of the SID </w:t>
      </w:r>
      <w:r>
        <w:rPr>
          <w:rFonts w:eastAsiaTheme="minorEastAsia"/>
        </w:rPr>
        <w:t>RP-152257 [2]</w:t>
      </w:r>
      <w:r>
        <w:rPr>
          <w:rFonts w:hint="eastAsia" w:eastAsiaTheme="minorEastAsia"/>
        </w:rPr>
        <w:t xml:space="preserve"> in RAN#70,  Dec. 2015</w:t>
      </w:r>
    </w:p>
    <w:p>
      <w:pPr>
        <w:pStyle w:val="111"/>
        <w:keepNext w:val="0"/>
        <w:keepLines w:val="0"/>
        <w:pageBreakBefore w:val="0"/>
        <w:widowControl/>
        <w:numPr>
          <w:ilvl w:val="0"/>
          <w:numId w:val="9"/>
        </w:numPr>
        <w:kinsoku/>
        <w:wordWrap/>
        <w:topLinePunct w:val="0"/>
        <w:bidi w:val="0"/>
        <w:snapToGrid w:val="0"/>
        <w:spacing w:before="181" w:beforeLines="50" w:after="181" w:afterLines="50" w:line="240" w:lineRule="auto"/>
        <w:ind w:firstLineChars="0"/>
        <w:jc w:val="both"/>
        <w:rPr>
          <w:rFonts w:eastAsiaTheme="minorEastAsia"/>
        </w:rPr>
      </w:pPr>
      <w:r>
        <w:rPr>
          <w:rFonts w:hint="eastAsia" w:eastAsiaTheme="minorEastAsia"/>
        </w:rPr>
        <w:t>Approval of TR 38.913 v0.4.0 after RAN#72 (endorsed via Email discussion after RAN#72) with sufficient inputs on section 6 Scenarios and section 7 Key performance indicators</w:t>
      </w:r>
    </w:p>
    <w:p>
      <w:pPr>
        <w:pStyle w:val="111"/>
        <w:keepNext w:val="0"/>
        <w:keepLines w:val="0"/>
        <w:pageBreakBefore w:val="0"/>
        <w:widowControl/>
        <w:numPr>
          <w:ilvl w:val="0"/>
          <w:numId w:val="9"/>
        </w:numPr>
        <w:kinsoku/>
        <w:wordWrap/>
        <w:topLinePunct w:val="0"/>
        <w:bidi w:val="0"/>
        <w:snapToGrid w:val="0"/>
        <w:spacing w:before="181" w:beforeLines="50" w:after="181" w:afterLines="50" w:line="240" w:lineRule="auto"/>
        <w:ind w:firstLineChars="0"/>
        <w:jc w:val="both"/>
        <w:rPr>
          <w:rFonts w:eastAsiaTheme="minorEastAsia"/>
        </w:rPr>
      </w:pPr>
      <w:r>
        <w:rPr>
          <w:rFonts w:hint="eastAsia" w:eastAsiaTheme="minorEastAsia"/>
        </w:rPr>
        <w:t>Further discussion till RAN#75 and finalization of TR 38.913 considering input from ITU-R WP5D work</w:t>
      </w:r>
    </w:p>
    <w:p>
      <w:pPr>
        <w:keepNext w:val="0"/>
        <w:keepLines w:val="0"/>
        <w:pageBreakBefore w:val="0"/>
        <w:widowControl/>
        <w:kinsoku/>
        <w:wordWrap/>
        <w:topLinePunct w:val="0"/>
        <w:bidi w:val="0"/>
        <w:snapToGrid w:val="0"/>
        <w:spacing w:before="181" w:beforeLines="50" w:after="181" w:afterLines="50" w:line="240" w:lineRule="auto"/>
        <w:jc w:val="both"/>
        <w:rPr>
          <w:rFonts w:eastAsiaTheme="minorEastAsia"/>
        </w:rPr>
      </w:pPr>
      <w:r>
        <w:rPr>
          <w:rFonts w:hint="eastAsia" w:eastAsiaTheme="minorEastAsia"/>
        </w:rPr>
        <w:t xml:space="preserve">To fulfill the aforementioned milestones, a lot of topic centric email discussion was carried out such as the post meeting email discussion after RAN#72 towards the in-time </w:t>
      </w:r>
      <w:bookmarkStart w:id="1" w:name="OLE_LINK5"/>
      <w:r>
        <w:rPr>
          <w:rFonts w:hint="eastAsia" w:eastAsiaTheme="minorEastAsia"/>
        </w:rPr>
        <w:t xml:space="preserve">commitment </w:t>
      </w:r>
      <w:bookmarkEnd w:id="1"/>
      <w:r>
        <w:rPr>
          <w:rFonts w:hint="eastAsia" w:eastAsiaTheme="minorEastAsia"/>
        </w:rPr>
        <w:t>of the planned delivery.</w:t>
      </w:r>
    </w:p>
    <w:p>
      <w:pPr>
        <w:keepNext w:val="0"/>
        <w:keepLines w:val="0"/>
        <w:pageBreakBefore w:val="0"/>
        <w:widowControl/>
        <w:kinsoku/>
        <w:wordWrap/>
        <w:topLinePunct w:val="0"/>
        <w:bidi w:val="0"/>
        <w:snapToGrid w:val="0"/>
        <w:spacing w:before="181" w:beforeLines="50" w:after="181" w:afterLines="50" w:line="240" w:lineRule="auto"/>
        <w:jc w:val="both"/>
        <w:rPr>
          <w:rFonts w:eastAsiaTheme="minorEastAsia"/>
        </w:rPr>
      </w:pPr>
      <w:r>
        <w:rPr>
          <w:rFonts w:eastAsiaTheme="minorEastAsia"/>
        </w:rPr>
        <w:t>The objectives of the 5G RAN-level SID [2] are shown as follows:</w:t>
      </w:r>
    </w:p>
    <w:p>
      <w:pPr>
        <w:keepNext w:val="0"/>
        <w:keepLines w:val="0"/>
        <w:pageBreakBefore w:val="0"/>
        <w:widowControl/>
        <w:kinsoku/>
        <w:wordWrap/>
        <w:topLinePunct w:val="0"/>
        <w:bidi w:val="0"/>
        <w:snapToGrid w:val="0"/>
        <w:spacing w:before="181" w:beforeLines="50" w:after="181" w:afterLines="50" w:line="240" w:lineRule="auto"/>
        <w:ind w:right="-99"/>
        <w:jc w:val="both"/>
        <w:rPr>
          <w:i/>
        </w:rPr>
      </w:pPr>
      <w:r>
        <w:rPr>
          <w:i/>
          <w:lang w:eastAsia="ko-KR"/>
        </w:rPr>
        <w:t>The study item aims to develop</w:t>
      </w:r>
      <w:r>
        <w:rPr>
          <w:rFonts w:eastAsia="MS Mincho"/>
          <w:i/>
        </w:rPr>
        <w:t xml:space="preserve"> deployment </w:t>
      </w:r>
      <w:r>
        <w:rPr>
          <w:i/>
          <w:lang w:eastAsia="ko-KR"/>
        </w:rPr>
        <w:t xml:space="preserve">scenarios and requirements of next generation access technologies, and </w:t>
      </w:r>
      <w:r>
        <w:rPr>
          <w:rFonts w:eastAsia="Malgun Gothic"/>
          <w:i/>
          <w:lang w:eastAsia="ko-KR"/>
        </w:rPr>
        <w:t xml:space="preserve">to </w:t>
      </w:r>
      <w:r>
        <w:rPr>
          <w:i/>
          <w:lang w:eastAsia="ko-KR"/>
        </w:rPr>
        <w:t xml:space="preserve">provide guidance to the </w:t>
      </w:r>
      <w:r>
        <w:rPr>
          <w:rFonts w:eastAsia="Malgun Gothic"/>
          <w:i/>
          <w:lang w:eastAsia="ko-KR"/>
        </w:rPr>
        <w:t>technical</w:t>
      </w:r>
      <w:r>
        <w:rPr>
          <w:i/>
        </w:rPr>
        <w:t xml:space="preserve"> </w:t>
      </w:r>
      <w:r>
        <w:rPr>
          <w:i/>
          <w:lang w:eastAsia="ko-KR"/>
        </w:rPr>
        <w:t>work</w:t>
      </w:r>
      <w:r>
        <w:rPr>
          <w:rFonts w:eastAsia="Malgun Gothic"/>
          <w:i/>
          <w:lang w:eastAsia="ko-KR"/>
        </w:rPr>
        <w:t xml:space="preserve"> to be performed in RAN WGs</w:t>
      </w:r>
      <w:r>
        <w:rPr>
          <w:i/>
          <w:lang w:eastAsia="ko-KR"/>
        </w:rPr>
        <w:t>. In order to achieve this, the study item should fulfil the following objectives:</w:t>
      </w:r>
    </w:p>
    <w:p>
      <w:pPr>
        <w:pStyle w:val="125"/>
        <w:keepNext w:val="0"/>
        <w:keepLines w:val="0"/>
        <w:pageBreakBefore w:val="0"/>
        <w:widowControl/>
        <w:numPr>
          <w:ilvl w:val="0"/>
          <w:numId w:val="10"/>
        </w:numPr>
        <w:kinsoku/>
        <w:wordWrap/>
        <w:overflowPunct/>
        <w:topLinePunct w:val="0"/>
        <w:bidi w:val="0"/>
        <w:snapToGrid w:val="0"/>
        <w:spacing w:before="181" w:beforeLines="50" w:after="181" w:afterLines="50" w:line="240" w:lineRule="auto"/>
        <w:ind w:firstLineChars="0"/>
        <w:jc w:val="both"/>
        <w:textAlignment w:val="auto"/>
        <w:rPr>
          <w:i/>
          <w:lang w:val="en-US"/>
        </w:rPr>
      </w:pPr>
      <w:r>
        <w:rPr>
          <w:i/>
          <w:lang w:val="en-US"/>
        </w:rPr>
        <w:t>Identify the typical deployment scenarios associated with attributes such as carrier frequency, inter-site distance, user density, maximum mobility speed, etc.</w:t>
      </w:r>
    </w:p>
    <w:p>
      <w:pPr>
        <w:pStyle w:val="125"/>
        <w:keepNext w:val="0"/>
        <w:keepLines w:val="0"/>
        <w:pageBreakBefore w:val="0"/>
        <w:widowControl/>
        <w:numPr>
          <w:ilvl w:val="0"/>
          <w:numId w:val="10"/>
        </w:numPr>
        <w:kinsoku/>
        <w:wordWrap/>
        <w:overflowPunct/>
        <w:topLinePunct w:val="0"/>
        <w:bidi w:val="0"/>
        <w:snapToGrid w:val="0"/>
        <w:spacing w:before="181" w:beforeLines="50" w:after="181" w:afterLines="50" w:line="240" w:lineRule="auto"/>
        <w:ind w:firstLineChars="0"/>
        <w:jc w:val="both"/>
        <w:textAlignment w:val="auto"/>
        <w:rPr>
          <w:i/>
          <w:lang w:val="en-US"/>
        </w:rPr>
      </w:pPr>
      <w:r>
        <w:rPr>
          <w:i/>
          <w:lang w:val="en-US" w:eastAsia="zh-CN"/>
        </w:rPr>
        <w:t>D</w:t>
      </w:r>
      <w:r>
        <w:rPr>
          <w:i/>
          <w:lang w:val="en-US"/>
        </w:rPr>
        <w:t>evelop</w:t>
      </w:r>
      <w:r>
        <w:rPr>
          <w:i/>
          <w:lang w:val="en-US" w:eastAsia="zh-CN"/>
        </w:rPr>
        <w:t xml:space="preserve"> specific</w:t>
      </w:r>
      <w:r>
        <w:rPr>
          <w:i/>
          <w:lang w:val="en-US"/>
        </w:rPr>
        <w:t xml:space="preserve"> requirements for next generation access technologies for the identified deployment scenarios.</w:t>
      </w:r>
    </w:p>
    <w:p>
      <w:pPr>
        <w:pStyle w:val="125"/>
        <w:keepNext w:val="0"/>
        <w:keepLines w:val="0"/>
        <w:pageBreakBefore w:val="0"/>
        <w:widowControl/>
        <w:kinsoku/>
        <w:wordWrap/>
        <w:topLinePunct w:val="0"/>
        <w:bidi w:val="0"/>
        <w:snapToGrid w:val="0"/>
        <w:spacing w:before="181" w:beforeLines="50" w:after="181" w:afterLines="50" w:line="240" w:lineRule="auto"/>
        <w:ind w:right="-99" w:firstLine="0" w:firstLineChars="0"/>
        <w:jc w:val="both"/>
        <w:rPr>
          <w:i/>
          <w:lang w:eastAsia="zh-CN"/>
        </w:rPr>
      </w:pPr>
      <w:r>
        <w:rPr>
          <w:i/>
          <w:lang w:eastAsia="zh-CN"/>
        </w:rPr>
        <w:t xml:space="preserve">To complete the above work, </w:t>
      </w:r>
      <w:r>
        <w:rPr>
          <w:i/>
        </w:rPr>
        <w:t>the inputs from other organizations could be referred</w:t>
      </w:r>
      <w:r>
        <w:rPr>
          <w:rFonts w:eastAsia="Malgun Gothic"/>
          <w:i/>
          <w:lang w:eastAsia="ko-KR"/>
        </w:rPr>
        <w:t xml:space="preserve"> to</w:t>
      </w:r>
      <w:r>
        <w:rPr>
          <w:i/>
        </w:rPr>
        <w:t>.</w:t>
      </w:r>
    </w:p>
    <w:p>
      <w:pPr>
        <w:keepNext w:val="0"/>
        <w:keepLines w:val="0"/>
        <w:pageBreakBefore w:val="0"/>
        <w:widowControl/>
        <w:kinsoku/>
        <w:wordWrap/>
        <w:topLinePunct w:val="0"/>
        <w:bidi w:val="0"/>
        <w:snapToGrid w:val="0"/>
        <w:spacing w:before="181" w:beforeLines="50" w:after="181" w:afterLines="50" w:line="240" w:lineRule="auto"/>
        <w:jc w:val="both"/>
        <w:rPr>
          <w:rFonts w:eastAsiaTheme="minorEastAsia"/>
        </w:rPr>
      </w:pPr>
      <w:r>
        <w:rPr>
          <w:rFonts w:eastAsiaTheme="minorEastAsia"/>
        </w:rPr>
        <w:t>Compared to one RAN-level SI in 5G, we have two RP SIs as described in the introduction.  The first study will focus on ITU IMT-2030 which refers to IMT-2030 Technical Performance Requirements (TPRs) being discussed in ITU-R WP5D from our understanding.  The second study will focus on 6G general part but it is still not so clear the detail of what the general part is.  From our understanding, the scope of the general part in the second SI should be similar to the 5G SID</w:t>
      </w:r>
      <w:r>
        <w:rPr>
          <w:rFonts w:hint="eastAsia" w:eastAsiaTheme="minorEastAsia"/>
          <w:lang w:val="en-US" w:eastAsia="zh-CN"/>
        </w:rPr>
        <w:t xml:space="preserve"> </w:t>
      </w:r>
      <w:r>
        <w:rPr>
          <w:rFonts w:eastAsiaTheme="minorEastAsia"/>
        </w:rPr>
        <w:t>[2].  Different from the first SI, the requirements discussed in the second SI are not limited to TPR discussed in ITU-R WP5D.</w:t>
      </w:r>
    </w:p>
    <w:p>
      <w:pPr>
        <w:keepNext w:val="0"/>
        <w:keepLines w:val="0"/>
        <w:pageBreakBefore w:val="0"/>
        <w:widowControl/>
        <w:kinsoku/>
        <w:wordWrap/>
        <w:topLinePunct w:val="0"/>
        <w:bidi w:val="0"/>
        <w:snapToGrid w:val="0"/>
        <w:spacing w:before="181" w:beforeLines="50" w:after="120" w:line="240" w:lineRule="auto"/>
        <w:jc w:val="both"/>
        <w:rPr>
          <w:rFonts w:eastAsiaTheme="minorEastAsia"/>
          <w:b w:val="0"/>
          <w:bCs w:val="0"/>
          <w:i/>
        </w:rPr>
      </w:pPr>
      <w:r>
        <w:rPr>
          <w:rFonts w:eastAsiaTheme="minorEastAsia"/>
          <w:b/>
          <w:i/>
        </w:rPr>
        <w:t>Proposal 1:</w:t>
      </w:r>
      <w:r>
        <w:rPr>
          <w:rFonts w:hint="eastAsia" w:eastAsiaTheme="minorEastAsia"/>
          <w:b/>
          <w:i/>
          <w:lang w:val="en-US" w:eastAsia="zh-CN"/>
        </w:rPr>
        <w:t xml:space="preserve"> </w:t>
      </w:r>
      <w:r>
        <w:rPr>
          <w:rFonts w:hint="eastAsia" w:eastAsiaTheme="minorEastAsia"/>
          <w:b w:val="0"/>
          <w:bCs w:val="0"/>
          <w:i/>
          <w:lang w:val="en-US" w:eastAsia="zh-CN"/>
        </w:rPr>
        <w:t>A</w:t>
      </w:r>
      <w:r>
        <w:rPr>
          <w:rFonts w:eastAsiaTheme="minorEastAsia"/>
          <w:b w:val="0"/>
          <w:bCs w:val="0"/>
          <w:i/>
        </w:rPr>
        <w:t xml:space="preserve">lign the following understandings in the three steps described in the introduction: </w:t>
      </w:r>
    </w:p>
    <w:p>
      <w:pPr>
        <w:keepNext w:val="0"/>
        <w:keepLines w:val="0"/>
        <w:pageBreakBefore w:val="0"/>
        <w:widowControl/>
        <w:numPr>
          <w:ilvl w:val="0"/>
          <w:numId w:val="11"/>
        </w:numPr>
        <w:kinsoku/>
        <w:wordWrap/>
        <w:topLinePunct w:val="0"/>
        <w:bidi w:val="0"/>
        <w:snapToGrid w:val="0"/>
        <w:spacing w:before="181" w:beforeLines="50" w:after="120" w:line="240" w:lineRule="auto"/>
        <w:ind w:left="420" w:hanging="420"/>
        <w:jc w:val="both"/>
        <w:rPr>
          <w:rFonts w:eastAsiaTheme="minorEastAsia"/>
          <w:b w:val="0"/>
          <w:bCs w:val="0"/>
          <w:i/>
        </w:rPr>
      </w:pPr>
      <w:r>
        <w:rPr>
          <w:rFonts w:eastAsiaTheme="minorEastAsia"/>
          <w:b w:val="0"/>
          <w:bCs w:val="0"/>
          <w:i/>
        </w:rPr>
        <w:t>IMT-2030 discussion in RAN from 09/24 to 12/24</w:t>
      </w:r>
    </w:p>
    <w:p>
      <w:pPr>
        <w:keepNext w:val="0"/>
        <w:keepLines w:val="0"/>
        <w:pageBreakBefore w:val="0"/>
        <w:widowControl/>
        <w:numPr>
          <w:ilvl w:val="0"/>
          <w:numId w:val="12"/>
        </w:numPr>
        <w:kinsoku/>
        <w:wordWrap/>
        <w:topLinePunct w:val="0"/>
        <w:bidi w:val="0"/>
        <w:snapToGrid w:val="0"/>
        <w:spacing w:before="181" w:beforeLines="50" w:after="120" w:line="240" w:lineRule="auto"/>
        <w:jc w:val="both"/>
        <w:rPr>
          <w:rFonts w:eastAsiaTheme="minorEastAsia"/>
          <w:b w:val="0"/>
          <w:bCs w:val="0"/>
          <w:i/>
        </w:rPr>
      </w:pPr>
      <w:r>
        <w:rPr>
          <w:rFonts w:eastAsiaTheme="minorEastAsia"/>
          <w:b w:val="0"/>
          <w:bCs w:val="0"/>
          <w:i/>
        </w:rPr>
        <w:t>Initial views on the scope of RAN-level SIs and TPRs from companies are expected but the discussion should be limited before the actual SI starts.</w:t>
      </w:r>
    </w:p>
    <w:p>
      <w:pPr>
        <w:keepNext w:val="0"/>
        <w:keepLines w:val="0"/>
        <w:pageBreakBefore w:val="0"/>
        <w:widowControl/>
        <w:numPr>
          <w:ilvl w:val="0"/>
          <w:numId w:val="11"/>
        </w:numPr>
        <w:kinsoku/>
        <w:wordWrap/>
        <w:topLinePunct w:val="0"/>
        <w:bidi w:val="0"/>
        <w:snapToGrid w:val="0"/>
        <w:spacing w:before="181" w:beforeLines="50" w:after="120" w:line="240" w:lineRule="auto"/>
        <w:ind w:left="420" w:hanging="420"/>
        <w:jc w:val="both"/>
        <w:rPr>
          <w:rFonts w:eastAsiaTheme="minorEastAsia"/>
          <w:b w:val="0"/>
          <w:bCs w:val="0"/>
          <w:i/>
        </w:rPr>
      </w:pPr>
      <w:r>
        <w:rPr>
          <w:rFonts w:eastAsiaTheme="minorEastAsia"/>
          <w:b w:val="0"/>
          <w:bCs w:val="0"/>
          <w:i/>
        </w:rPr>
        <w:t>RP SI Rel-20 focusing on ITU– IMT-2030:  approval 12/24 until 06/25</w:t>
      </w:r>
    </w:p>
    <w:p>
      <w:pPr>
        <w:keepNext w:val="0"/>
        <w:keepLines w:val="0"/>
        <w:pageBreakBefore w:val="0"/>
        <w:widowControl/>
        <w:numPr>
          <w:ilvl w:val="0"/>
          <w:numId w:val="13"/>
        </w:numPr>
        <w:kinsoku/>
        <w:wordWrap/>
        <w:topLinePunct w:val="0"/>
        <w:bidi w:val="0"/>
        <w:snapToGrid w:val="0"/>
        <w:spacing w:before="181" w:beforeLines="50" w:after="120" w:line="240" w:lineRule="auto"/>
        <w:jc w:val="both"/>
        <w:rPr>
          <w:rFonts w:eastAsiaTheme="minorEastAsia"/>
          <w:b w:val="0"/>
          <w:bCs w:val="0"/>
          <w:i/>
          <w:highlight w:val="none"/>
        </w:rPr>
      </w:pPr>
      <w:r>
        <w:rPr>
          <w:rFonts w:eastAsiaTheme="minorEastAsia"/>
          <w:b w:val="0"/>
          <w:bCs w:val="0"/>
          <w:i/>
        </w:rPr>
        <w:t>Ba</w:t>
      </w:r>
      <w:r>
        <w:rPr>
          <w:rFonts w:eastAsiaTheme="minorEastAsia"/>
          <w:b w:val="0"/>
          <w:bCs w:val="0"/>
          <w:i/>
          <w:highlight w:val="none"/>
        </w:rPr>
        <w:t xml:space="preserve">sed on the LS and the progress from ITU-R WP5D, IMT-2030 TPR (Technical Performance Requirements) are expected to be discussed.  Companies are encouraged to provide their views on TPRs during the SI discussion.  </w:t>
      </w:r>
    </w:p>
    <w:p>
      <w:pPr>
        <w:keepNext w:val="0"/>
        <w:keepLines w:val="0"/>
        <w:pageBreakBefore w:val="0"/>
        <w:widowControl/>
        <w:numPr>
          <w:ilvl w:val="0"/>
          <w:numId w:val="13"/>
        </w:numPr>
        <w:kinsoku/>
        <w:wordWrap/>
        <w:topLinePunct w:val="0"/>
        <w:bidi w:val="0"/>
        <w:snapToGrid w:val="0"/>
        <w:spacing w:before="181" w:beforeLines="50" w:after="120" w:line="240" w:lineRule="auto"/>
        <w:jc w:val="both"/>
        <w:rPr>
          <w:rFonts w:eastAsiaTheme="minorEastAsia"/>
          <w:b w:val="0"/>
          <w:bCs w:val="0"/>
          <w:i/>
          <w:highlight w:val="none"/>
        </w:rPr>
      </w:pPr>
      <w:r>
        <w:rPr>
          <w:rFonts w:eastAsiaTheme="minorEastAsia"/>
          <w:b w:val="0"/>
          <w:bCs w:val="0"/>
          <w:i/>
          <w:highlight w:val="none"/>
        </w:rPr>
        <w:t>One external TR is sufficient</w:t>
      </w:r>
    </w:p>
    <w:p>
      <w:pPr>
        <w:keepNext w:val="0"/>
        <w:keepLines w:val="0"/>
        <w:pageBreakBefore w:val="0"/>
        <w:widowControl/>
        <w:numPr>
          <w:ilvl w:val="0"/>
          <w:numId w:val="11"/>
        </w:numPr>
        <w:kinsoku/>
        <w:wordWrap/>
        <w:topLinePunct w:val="0"/>
        <w:bidi w:val="0"/>
        <w:snapToGrid w:val="0"/>
        <w:spacing w:before="181" w:beforeLines="50" w:after="120" w:line="240" w:lineRule="auto"/>
        <w:ind w:left="420" w:hanging="420"/>
        <w:jc w:val="both"/>
        <w:rPr>
          <w:rFonts w:eastAsiaTheme="minorEastAsia"/>
          <w:b w:val="0"/>
          <w:bCs w:val="0"/>
          <w:i/>
        </w:rPr>
      </w:pPr>
      <w:r>
        <w:rPr>
          <w:rFonts w:eastAsiaTheme="minorEastAsia"/>
          <w:b w:val="0"/>
          <w:bCs w:val="0"/>
          <w:i/>
        </w:rPr>
        <w:t>RP SI Rel-20 focusing on 6G General: approval 03/25 (after WS),  until 06/26</w:t>
      </w:r>
    </w:p>
    <w:p>
      <w:pPr>
        <w:keepNext w:val="0"/>
        <w:keepLines w:val="0"/>
        <w:pageBreakBefore w:val="0"/>
        <w:widowControl/>
        <w:numPr>
          <w:ilvl w:val="0"/>
          <w:numId w:val="14"/>
        </w:numPr>
        <w:kinsoku/>
        <w:wordWrap/>
        <w:topLinePunct w:val="0"/>
        <w:bidi w:val="0"/>
        <w:snapToGrid w:val="0"/>
        <w:spacing w:before="181" w:beforeLines="50" w:after="120" w:line="240" w:lineRule="auto"/>
        <w:jc w:val="both"/>
        <w:rPr>
          <w:rFonts w:eastAsiaTheme="minorEastAsia"/>
          <w:b w:val="0"/>
          <w:bCs w:val="0"/>
          <w:i/>
          <w:highlight w:val="none"/>
        </w:rPr>
      </w:pPr>
      <w:r>
        <w:rPr>
          <w:rFonts w:eastAsiaTheme="minorEastAsia"/>
          <w:b w:val="0"/>
          <w:bCs w:val="0"/>
          <w:i/>
          <w:highlight w:val="none"/>
        </w:rPr>
        <w:t>Remaining work from the first SI on TPR for ITU IMT-2030</w:t>
      </w:r>
    </w:p>
    <w:p>
      <w:pPr>
        <w:keepNext w:val="0"/>
        <w:keepLines w:val="0"/>
        <w:pageBreakBefore w:val="0"/>
        <w:widowControl/>
        <w:numPr>
          <w:ilvl w:val="1"/>
          <w:numId w:val="14"/>
        </w:numPr>
        <w:kinsoku/>
        <w:wordWrap/>
        <w:topLinePunct w:val="0"/>
        <w:bidi w:val="0"/>
        <w:snapToGrid w:val="0"/>
        <w:spacing w:before="181" w:beforeLines="50" w:after="120" w:line="240" w:lineRule="auto"/>
        <w:jc w:val="both"/>
        <w:rPr>
          <w:rFonts w:eastAsiaTheme="minorEastAsia"/>
          <w:b w:val="0"/>
          <w:bCs w:val="0"/>
          <w:i/>
          <w:highlight w:val="none"/>
        </w:rPr>
      </w:pPr>
      <w:r>
        <w:rPr>
          <w:rFonts w:eastAsiaTheme="minorEastAsia"/>
          <w:b w:val="0"/>
          <w:bCs w:val="0"/>
          <w:i/>
          <w:highlight w:val="none"/>
        </w:rPr>
        <w:t xml:space="preserve">Given that the current plan of ITU-R WP5D is to finalize the TPR document in February 2026, it is expected 3GPP RAN can continue to discuss IMT-2030 TPRs after 06/25 and provide inputs to ITU until the RAN plenary in December 2025. </w:t>
      </w:r>
    </w:p>
    <w:p>
      <w:pPr>
        <w:keepNext w:val="0"/>
        <w:keepLines w:val="0"/>
        <w:pageBreakBefore w:val="0"/>
        <w:widowControl/>
        <w:numPr>
          <w:ilvl w:val="0"/>
          <w:numId w:val="14"/>
        </w:numPr>
        <w:kinsoku/>
        <w:wordWrap/>
        <w:topLinePunct w:val="0"/>
        <w:bidi w:val="0"/>
        <w:snapToGrid w:val="0"/>
        <w:spacing w:before="181" w:beforeLines="50" w:after="120" w:line="240" w:lineRule="auto"/>
        <w:jc w:val="both"/>
        <w:rPr>
          <w:rFonts w:eastAsiaTheme="minorEastAsia"/>
          <w:b w:val="0"/>
          <w:bCs w:val="0"/>
          <w:i/>
        </w:rPr>
      </w:pPr>
      <w:r>
        <w:rPr>
          <w:rFonts w:eastAsiaTheme="minorEastAsia"/>
          <w:b w:val="0"/>
          <w:bCs w:val="0"/>
          <w:i/>
        </w:rPr>
        <w:t>Deployment scenarios and 3GPP requirements (not in the ITU scope) for the identified scenarios</w:t>
      </w:r>
    </w:p>
    <w:p>
      <w:pPr>
        <w:keepNext w:val="0"/>
        <w:keepLines w:val="0"/>
        <w:pageBreakBefore w:val="0"/>
        <w:widowControl/>
        <w:numPr>
          <w:ilvl w:val="0"/>
          <w:numId w:val="14"/>
        </w:numPr>
        <w:kinsoku/>
        <w:wordWrap/>
        <w:topLinePunct w:val="0"/>
        <w:bidi w:val="0"/>
        <w:snapToGrid w:val="0"/>
        <w:spacing w:before="181" w:beforeLines="50" w:after="181" w:afterLines="50" w:line="240" w:lineRule="auto"/>
        <w:jc w:val="both"/>
        <w:rPr>
          <w:rFonts w:eastAsiaTheme="minorEastAsia"/>
          <w:b w:val="0"/>
          <w:bCs w:val="0"/>
          <w:i/>
        </w:rPr>
      </w:pPr>
      <w:r>
        <w:rPr>
          <w:rFonts w:eastAsiaTheme="minorEastAsia"/>
          <w:b w:val="0"/>
          <w:bCs w:val="0"/>
          <w:i/>
        </w:rPr>
        <w:t>One external TR (same as the TR from SI on ITU-IMT2030) is sufficient</w:t>
      </w:r>
    </w:p>
    <w:p>
      <w:pPr>
        <w:keepNext w:val="0"/>
        <w:keepLines w:val="0"/>
        <w:pageBreakBefore w:val="0"/>
        <w:widowControl/>
        <w:kinsoku/>
        <w:wordWrap/>
        <w:topLinePunct w:val="0"/>
        <w:bidi w:val="0"/>
        <w:snapToGrid w:val="0"/>
        <w:spacing w:before="181" w:beforeLines="50" w:after="181" w:afterLines="50" w:line="240" w:lineRule="auto"/>
        <w:jc w:val="both"/>
        <w:rPr>
          <w:rFonts w:eastAsiaTheme="minorEastAsia"/>
        </w:rPr>
      </w:pPr>
      <w:r>
        <w:rPr>
          <w:rFonts w:eastAsiaTheme="minorEastAsia"/>
        </w:rPr>
        <w:t>As usual, high-level technical topics which help the scoping process of RAN WG Technical SI can be discussed outside of</w:t>
      </w:r>
      <w:r>
        <w:rPr>
          <w:rFonts w:hint="eastAsia" w:eastAsiaTheme="minorEastAsia"/>
        </w:rPr>
        <w:t xml:space="preserve"> the main track of</w:t>
      </w:r>
      <w:r>
        <w:rPr>
          <w:rFonts w:eastAsiaTheme="minorEastAsia"/>
        </w:rPr>
        <w:t xml:space="preserve"> these RAN-level study items but WG-level studies should be avoided. </w:t>
      </w:r>
    </w:p>
    <w:p>
      <w:pPr>
        <w:keepNext w:val="0"/>
        <w:keepLines w:val="0"/>
        <w:pageBreakBefore w:val="0"/>
        <w:widowControl/>
        <w:kinsoku/>
        <w:wordWrap/>
        <w:topLinePunct w:val="0"/>
        <w:bidi w:val="0"/>
        <w:snapToGrid w:val="0"/>
        <w:spacing w:before="181" w:beforeLines="50" w:after="181" w:afterLines="50" w:line="240" w:lineRule="auto"/>
        <w:jc w:val="both"/>
        <w:rPr>
          <w:rFonts w:eastAsiaTheme="minorEastAsia"/>
        </w:rPr>
      </w:pPr>
    </w:p>
    <w:p>
      <w:pPr>
        <w:keepNext/>
        <w:keepLines w:val="0"/>
        <w:pageBreakBefore w:val="0"/>
        <w:widowControl w:val="0"/>
        <w:numPr>
          <w:ilvl w:val="1"/>
          <w:numId w:val="7"/>
        </w:numPr>
        <w:tabs>
          <w:tab w:val="left" w:pos="432"/>
          <w:tab w:val="left" w:pos="3686"/>
          <w:tab w:val="left" w:pos="4536"/>
        </w:tabs>
        <w:kinsoku/>
        <w:wordWrap/>
        <w:overflowPunct/>
        <w:topLinePunct w:val="0"/>
        <w:autoSpaceDE w:val="0"/>
        <w:autoSpaceDN w:val="0"/>
        <w:bidi w:val="0"/>
        <w:adjustRightInd w:val="0"/>
        <w:snapToGrid w:val="0"/>
        <w:spacing w:before="361" w:beforeLines="100" w:after="361" w:afterLines="100" w:line="240" w:lineRule="auto"/>
        <w:ind w:left="578" w:hanging="578"/>
        <w:textAlignment w:val="baseline"/>
        <w:outlineLvl w:val="1"/>
        <w:rPr>
          <w:rFonts w:hint="eastAsia" w:eastAsia="Arial Unicode MS"/>
          <w:b/>
          <w:bCs/>
          <w:sz w:val="24"/>
          <w:szCs w:val="28"/>
        </w:rPr>
      </w:pPr>
      <w:r>
        <w:rPr>
          <w:rFonts w:hint="eastAsia" w:eastAsia="Arial Unicode MS"/>
          <w:b/>
          <w:bCs/>
          <w:sz w:val="24"/>
          <w:szCs w:val="28"/>
        </w:rPr>
        <w:t xml:space="preserve">Views on LS from ITU-R WP5D </w:t>
      </w:r>
    </w:p>
    <w:p>
      <w:pPr>
        <w:keepNext w:val="0"/>
        <w:keepLines w:val="0"/>
        <w:pageBreakBefore w:val="0"/>
        <w:widowControl/>
        <w:kinsoku/>
        <w:wordWrap/>
        <w:topLinePunct w:val="0"/>
        <w:bidi w:val="0"/>
        <w:snapToGrid w:val="0"/>
        <w:spacing w:before="120" w:after="120" w:line="240" w:lineRule="auto"/>
        <w:rPr>
          <w:rFonts w:hint="eastAsia" w:eastAsiaTheme="minorEastAsia"/>
        </w:rPr>
      </w:pPr>
      <w:r>
        <w:rPr>
          <w:rFonts w:hint="eastAsia" w:eastAsiaTheme="minorEastAsia"/>
        </w:rPr>
        <w:t>During ITU-R WP5D#47, an LS was formulated and output to external organizations including 3GPP featuring invited input as below [3]</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pStyle w:val="126"/>
              <w:keepNext w:val="0"/>
              <w:keepLines w:val="0"/>
              <w:pageBreakBefore w:val="0"/>
              <w:widowControl/>
              <w:kinsoku/>
              <w:wordWrap/>
              <w:topLinePunct w:val="0"/>
              <w:bidi w:val="0"/>
              <w:snapToGrid w:val="0"/>
              <w:spacing w:before="120" w:after="120" w:line="240" w:lineRule="auto"/>
              <w:jc w:val="both"/>
              <w:rPr>
                <w:i/>
                <w:sz w:val="20"/>
              </w:rPr>
            </w:pPr>
            <w:r>
              <w:rPr>
                <w:i/>
                <w:sz w:val="20"/>
              </w:rPr>
              <w:t>–</w:t>
            </w:r>
            <w:r>
              <w:rPr>
                <w:i/>
                <w:sz w:val="20"/>
              </w:rPr>
              <w:tab/>
            </w:r>
            <w:r>
              <w:rPr>
                <w:i/>
                <w:sz w:val="20"/>
              </w:rPr>
              <w:t xml:space="preserve">Proposed candidate items for minimum technical performance requirements based on M.2160 Usage Scenarios and Capabilities, including necessary background information and justification, which are requested to be provided preferably by WP 5D #48 (February 2025 TBC). </w:t>
            </w:r>
          </w:p>
          <w:p>
            <w:pPr>
              <w:pStyle w:val="126"/>
              <w:snapToGrid w:val="0"/>
              <w:spacing w:before="120" w:after="120"/>
              <w:jc w:val="both"/>
              <w:rPr>
                <w:rFonts w:hint="eastAsia" w:eastAsiaTheme="minorEastAsia"/>
                <w:lang w:eastAsia="zh-CN"/>
              </w:rPr>
            </w:pPr>
            <w:r>
              <w:rPr>
                <w:i/>
                <w:sz w:val="20"/>
              </w:rPr>
              <w:t>–</w:t>
            </w:r>
            <w:r>
              <w:rPr>
                <w:i/>
                <w:sz w:val="20"/>
              </w:rPr>
              <w:tab/>
            </w:r>
            <w:r>
              <w:rPr>
                <w:i/>
                <w:sz w:val="20"/>
              </w:rPr>
              <w:t xml:space="preserve">Proposed associated target values for the above candidate items for the minimum technical performance requirements which are requested to be provided preferably by WP 5D #49 (June/July 2025 TBC) </w:t>
            </w:r>
          </w:p>
        </w:tc>
      </w:tr>
    </w:tbl>
    <w:p>
      <w:pPr>
        <w:keepNext w:val="0"/>
        <w:keepLines w:val="0"/>
        <w:pageBreakBefore w:val="0"/>
        <w:widowControl/>
        <w:kinsoku/>
        <w:wordWrap/>
        <w:topLinePunct w:val="0"/>
        <w:bidi w:val="0"/>
        <w:snapToGrid w:val="0"/>
        <w:spacing w:before="120" w:after="120" w:line="240" w:lineRule="auto"/>
        <w:jc w:val="both"/>
        <w:rPr>
          <w:rFonts w:hint="eastAsia" w:eastAsiaTheme="minorEastAsia"/>
          <w:highlight w:val="none"/>
        </w:rPr>
      </w:pPr>
      <w:r>
        <w:rPr>
          <w:rFonts w:hint="eastAsia" w:eastAsiaTheme="minorEastAsia"/>
        </w:rPr>
        <w:t>Th</w:t>
      </w:r>
      <w:r>
        <w:rPr>
          <w:rFonts w:hint="eastAsia" w:eastAsiaTheme="minorEastAsia"/>
          <w:highlight w:val="none"/>
        </w:rPr>
        <w:t>e first date, i.e. February.4 2025, for invited input aims to obtain the study outcome of the RAN-level study item on IMT-2030 to be approved December, 2024. However, if there were such a contribution from 3GPP RAN with actual proposed candidate items for minimum technical performance requirements, it would firstly meet the following submission deadline.</w:t>
      </w:r>
    </w:p>
    <w:p>
      <w:pPr>
        <w:keepNext w:val="0"/>
        <w:keepLines w:val="0"/>
        <w:pageBreakBefore w:val="0"/>
        <w:widowControl/>
        <w:kinsoku/>
        <w:wordWrap/>
        <w:topLinePunct w:val="0"/>
        <w:bidi w:val="0"/>
        <w:snapToGrid w:val="0"/>
        <w:spacing w:before="120" w:after="120" w:line="240" w:lineRule="auto"/>
        <w:jc w:val="both"/>
        <w:rPr>
          <w:i/>
          <w:highlight w:val="none"/>
        </w:rPr>
      </w:pPr>
      <w:r>
        <w:rPr>
          <w:i/>
          <w:highlight w:val="none"/>
        </w:rPr>
        <w:t>The deadline of each WP 5D meeting for reception of contributions is 12 calendar days (1600 hours UTC) prior to the start of each meeting</w:t>
      </w:r>
      <w:r>
        <w:rPr>
          <w:rFonts w:hint="eastAsia" w:eastAsia="宋体"/>
          <w:i/>
          <w:highlight w:val="none"/>
          <w:lang w:val="en-US" w:eastAsia="zh-CN"/>
        </w:rPr>
        <w:t xml:space="preserve"> [3]</w:t>
      </w:r>
      <w:r>
        <w:rPr>
          <w:i/>
          <w:highlight w:val="none"/>
        </w:rPr>
        <w:t>.</w:t>
      </w:r>
    </w:p>
    <w:p>
      <w:pPr>
        <w:keepNext w:val="0"/>
        <w:keepLines w:val="0"/>
        <w:pageBreakBefore w:val="0"/>
        <w:widowControl/>
        <w:kinsoku/>
        <w:wordWrap/>
        <w:topLinePunct w:val="0"/>
        <w:bidi w:val="0"/>
        <w:snapToGrid w:val="0"/>
        <w:spacing w:before="120" w:after="120" w:line="240" w:lineRule="auto"/>
        <w:jc w:val="both"/>
        <w:rPr>
          <w:rFonts w:hint="eastAsia" w:eastAsiaTheme="minorEastAsia"/>
        </w:rPr>
      </w:pPr>
      <w:r>
        <w:rPr>
          <w:rFonts w:hint="eastAsia" w:eastAsiaTheme="minorEastAsia"/>
        </w:rPr>
        <w:t xml:space="preserve">Given the contribution reception deadline restriction and the meeting date February.4, 2025, the potential contribution, if any, answering to this LS would be </w:t>
      </w:r>
      <w:r>
        <w:rPr>
          <w:rFonts w:eastAsiaTheme="minorEastAsia"/>
        </w:rPr>
        <w:t>stabilized</w:t>
      </w:r>
      <w:r>
        <w:rPr>
          <w:rFonts w:hint="eastAsia" w:eastAsiaTheme="minorEastAsia"/>
        </w:rPr>
        <w:t xml:space="preserve"> at the latest January. 23, 2025. </w:t>
      </w:r>
    </w:p>
    <w:p>
      <w:pPr>
        <w:keepNext w:val="0"/>
        <w:keepLines w:val="0"/>
        <w:pageBreakBefore w:val="0"/>
        <w:widowControl/>
        <w:kinsoku/>
        <w:wordWrap/>
        <w:topLinePunct w:val="0"/>
        <w:bidi w:val="0"/>
        <w:snapToGrid w:val="0"/>
        <w:spacing w:before="120" w:after="120" w:line="240" w:lineRule="auto"/>
        <w:jc w:val="both"/>
        <w:rPr>
          <w:rFonts w:hint="eastAsia" w:eastAsiaTheme="minorEastAsia"/>
        </w:rPr>
      </w:pPr>
      <w:r>
        <w:rPr>
          <w:rFonts w:hint="eastAsia" w:eastAsiaTheme="minorEastAsia"/>
        </w:rPr>
        <w:t>Secondly, to actually consolidate and agree on a set of proposed candidate items, email discussions immediately after the end of RAN plenary meeting, e.g. December 16, 2024 are necessary.  However, any email discussion from such a date will for sure coincide with the inactive period of 3GPP meeting cycle, making any envisioned output highly challenging.</w:t>
      </w:r>
      <w:r>
        <w:rPr>
          <w:rFonts w:hint="eastAsia" w:eastAsiaTheme="minorEastAsia"/>
          <w:lang w:val="en-US" w:eastAsia="zh-CN"/>
        </w:rPr>
        <w:t xml:space="preserve"> </w:t>
      </w:r>
      <w:r>
        <w:rPr>
          <w:rFonts w:hint="eastAsia" w:eastAsiaTheme="minorEastAsia"/>
        </w:rPr>
        <w:t xml:space="preserve">Thus it's advised not to have any discussion on any reply to the ITU-R WP5D LS </w:t>
      </w:r>
      <w:r>
        <w:rPr>
          <w:rFonts w:hint="eastAsia" w:eastAsiaTheme="minorEastAsia"/>
          <w:lang w:val="en-US" w:eastAsia="zh-CN"/>
        </w:rPr>
        <w:t>in</w:t>
      </w:r>
      <w:r>
        <w:rPr>
          <w:rFonts w:hint="eastAsia" w:eastAsiaTheme="minorEastAsia"/>
        </w:rPr>
        <w:t xml:space="preserve"> the December plenary meeting</w:t>
      </w:r>
      <w:r>
        <w:rPr>
          <w:rFonts w:hint="eastAsia" w:eastAsiaTheme="minorEastAsia"/>
          <w:lang w:val="en-US" w:eastAsia="zh-CN"/>
        </w:rPr>
        <w:t>.</w:t>
      </w:r>
      <w:r>
        <w:rPr>
          <w:rFonts w:hint="eastAsia" w:eastAsiaTheme="minorEastAsia"/>
        </w:rPr>
        <w:t xml:space="preserve"> </w:t>
      </w:r>
      <w:r>
        <w:rPr>
          <w:rFonts w:hint="eastAsia" w:eastAsiaTheme="minorEastAsia"/>
          <w:lang w:val="en-US" w:eastAsia="zh-CN"/>
        </w:rPr>
        <w:t xml:space="preserve">That is, it is better to </w:t>
      </w:r>
      <w:r>
        <w:rPr>
          <w:rFonts w:hint="eastAsia" w:eastAsiaTheme="minorEastAsia"/>
        </w:rPr>
        <w:t xml:space="preserve">trigger </w:t>
      </w:r>
      <w:r>
        <w:rPr>
          <w:rFonts w:hint="eastAsia" w:eastAsiaTheme="minorEastAsia"/>
          <w:lang w:val="en-US" w:eastAsia="zh-CN"/>
        </w:rPr>
        <w:t>an reply LS</w:t>
      </w:r>
      <w:r>
        <w:rPr>
          <w:rFonts w:hint="eastAsia" w:eastAsiaTheme="minorEastAsia"/>
        </w:rPr>
        <w:t xml:space="preserve"> after any stable outcome from study item on IMT 2030 is available .</w:t>
      </w:r>
    </w:p>
    <w:p>
      <w:pPr>
        <w:keepNext w:val="0"/>
        <w:keepLines w:val="0"/>
        <w:pageBreakBefore w:val="0"/>
        <w:widowControl/>
        <w:kinsoku/>
        <w:wordWrap/>
        <w:topLinePunct w:val="0"/>
        <w:bidi w:val="0"/>
        <w:snapToGrid w:val="0"/>
        <w:spacing w:before="120" w:after="120" w:line="240" w:lineRule="auto"/>
        <w:jc w:val="both"/>
        <w:rPr>
          <w:rFonts w:hint="eastAsia" w:eastAsiaTheme="minorEastAsia"/>
          <w:b/>
          <w:i/>
        </w:rPr>
      </w:pPr>
      <w:r>
        <w:rPr>
          <w:b/>
          <w:i/>
        </w:rPr>
        <w:t xml:space="preserve">Proposal </w:t>
      </w:r>
      <w:r>
        <w:rPr>
          <w:rFonts w:eastAsiaTheme="minorEastAsia"/>
          <w:b/>
          <w:i/>
        </w:rPr>
        <w:t>2</w:t>
      </w:r>
      <w:r>
        <w:rPr>
          <w:rFonts w:hint="eastAsia"/>
          <w:b/>
          <w:i/>
        </w:rPr>
        <w:t>:</w:t>
      </w:r>
      <w:r>
        <w:rPr>
          <w:rFonts w:hint="eastAsia" w:eastAsia="宋体"/>
          <w:b/>
          <w:i/>
          <w:lang w:val="en-US" w:eastAsia="zh-CN"/>
        </w:rPr>
        <w:t xml:space="preserve"> </w:t>
      </w:r>
      <w:r>
        <w:rPr>
          <w:rFonts w:hint="eastAsia" w:eastAsiaTheme="minorEastAsia"/>
          <w:b w:val="0"/>
          <w:bCs/>
          <w:i/>
        </w:rPr>
        <w:t>No discussion is need</w:t>
      </w:r>
      <w:r>
        <w:rPr>
          <w:rFonts w:hint="eastAsia" w:eastAsiaTheme="minorEastAsia"/>
          <w:b w:val="0"/>
          <w:bCs/>
          <w:i/>
          <w:lang w:val="en-US" w:eastAsia="zh-CN"/>
        </w:rPr>
        <w:t>ed</w:t>
      </w:r>
      <w:r>
        <w:rPr>
          <w:rFonts w:hint="eastAsia" w:eastAsiaTheme="minorEastAsia"/>
          <w:b w:val="0"/>
          <w:bCs/>
          <w:i/>
        </w:rPr>
        <w:t xml:space="preserve"> on any reply to ITU-R WP5D LS </w:t>
      </w:r>
      <w:r>
        <w:rPr>
          <w:rFonts w:hint="eastAsia" w:eastAsiaTheme="minorEastAsia"/>
          <w:b w:val="0"/>
          <w:bCs/>
          <w:i/>
          <w:lang w:val="en-US" w:eastAsia="zh-CN"/>
        </w:rPr>
        <w:t xml:space="preserve">in this </w:t>
      </w:r>
      <w:r>
        <w:rPr>
          <w:rFonts w:hint="eastAsia" w:eastAsiaTheme="minorEastAsia"/>
          <w:b w:val="0"/>
          <w:bCs/>
          <w:i/>
        </w:rPr>
        <w:t>meeting</w:t>
      </w:r>
    </w:p>
    <w:p>
      <w:pPr>
        <w:pStyle w:val="111"/>
        <w:numPr>
          <w:ilvl w:val="0"/>
          <w:numId w:val="15"/>
        </w:numPr>
        <w:snapToGrid w:val="0"/>
        <w:spacing w:before="120" w:after="120" w:line="240" w:lineRule="auto"/>
        <w:ind w:firstLineChars="0"/>
        <w:jc w:val="both"/>
        <w:rPr>
          <w:rFonts w:eastAsiaTheme="minorEastAsia"/>
          <w:i/>
        </w:rPr>
      </w:pPr>
      <w:r>
        <w:rPr>
          <w:rFonts w:hint="eastAsia" w:eastAsiaTheme="minorEastAsia"/>
          <w:i/>
        </w:rPr>
        <w:t>The discussion on reply LS to ITU-R WP5D should begin after stable outcome from study item on IMT 2030 is available.</w:t>
      </w:r>
    </w:p>
    <w:p>
      <w:pPr>
        <w:keepLines w:val="0"/>
        <w:pageBreakBefore w:val="0"/>
        <w:kinsoku/>
        <w:wordWrap/>
        <w:topLinePunct w:val="0"/>
        <w:bidi w:val="0"/>
        <w:snapToGrid w:val="0"/>
        <w:rPr>
          <w:rFonts w:hint="eastAsia" w:eastAsiaTheme="minorEastAsia"/>
        </w:rPr>
      </w:pPr>
    </w:p>
    <w:p>
      <w:pPr>
        <w:keepNext/>
        <w:keepLines w:val="0"/>
        <w:pageBreakBefore w:val="0"/>
        <w:widowControl w:val="0"/>
        <w:numPr>
          <w:ilvl w:val="1"/>
          <w:numId w:val="7"/>
        </w:numPr>
        <w:tabs>
          <w:tab w:val="left" w:pos="432"/>
          <w:tab w:val="left" w:pos="3686"/>
          <w:tab w:val="left" w:pos="4536"/>
        </w:tabs>
        <w:kinsoku/>
        <w:wordWrap/>
        <w:overflowPunct/>
        <w:topLinePunct w:val="0"/>
        <w:autoSpaceDE w:val="0"/>
        <w:autoSpaceDN w:val="0"/>
        <w:bidi w:val="0"/>
        <w:adjustRightInd w:val="0"/>
        <w:snapToGrid w:val="0"/>
        <w:spacing w:before="361" w:beforeLines="100" w:after="361" w:afterLines="100" w:line="240" w:lineRule="auto"/>
        <w:ind w:left="578" w:hanging="578"/>
        <w:textAlignment w:val="baseline"/>
        <w:outlineLvl w:val="1"/>
        <w:rPr>
          <w:rFonts w:hint="eastAsia" w:eastAsia="Arial Unicode MS"/>
          <w:b/>
          <w:bCs/>
          <w:sz w:val="24"/>
          <w:szCs w:val="28"/>
        </w:rPr>
      </w:pPr>
      <w:r>
        <w:rPr>
          <w:rFonts w:hint="eastAsia" w:eastAsia="Arial Unicode MS"/>
          <w:b/>
          <w:bCs/>
          <w:sz w:val="24"/>
          <w:szCs w:val="28"/>
        </w:rPr>
        <w:t>Views on KPIs for technical performance requirement</w:t>
      </w:r>
    </w:p>
    <w:p>
      <w:pPr>
        <w:keepNext w:val="0"/>
        <w:keepLines w:val="0"/>
        <w:pageBreakBefore w:val="0"/>
        <w:widowControl/>
        <w:tabs>
          <w:tab w:val="left" w:pos="432"/>
        </w:tabs>
        <w:kinsoku/>
        <w:wordWrap/>
        <w:overflowPunct/>
        <w:topLinePunct w:val="0"/>
        <w:autoSpaceDE/>
        <w:autoSpaceDN/>
        <w:bidi w:val="0"/>
        <w:adjustRightInd/>
        <w:snapToGrid w:val="0"/>
        <w:spacing w:before="120" w:after="120" w:line="240" w:lineRule="auto"/>
        <w:jc w:val="both"/>
        <w:textAlignment w:val="auto"/>
        <w:rPr>
          <w:rFonts w:eastAsiaTheme="minorEastAsia"/>
        </w:rPr>
      </w:pPr>
      <w:r>
        <w:rPr>
          <w:rFonts w:eastAsiaTheme="minorEastAsia"/>
        </w:rPr>
        <w:t xml:space="preserve">In ITU-R M.2160 </w:t>
      </w:r>
      <w:r>
        <w:rPr>
          <w:rFonts w:eastAsiaTheme="minorEastAsia"/>
          <w:i/>
        </w:rPr>
        <w:t>Framework and overall objectives of the future development of IMT for 2030 and beyond</w:t>
      </w:r>
      <w:r>
        <w:rPr>
          <w:rFonts w:eastAsiaTheme="minorEastAsia"/>
        </w:rPr>
        <w:t xml:space="preserve">, apart from the expanded usage scenarios i.e. immersive communication, hyper reliable and low latency communication as well as massive communication, three new usage scenarios featuring IMT-2030 namely integrated sensing and communication, AI and communication, ubiquitous communication are also defined. Moreover, overarching aspects including sustainability also calls for close examination and potential redefinition of relevant technical performance requirements (TPRs) for expanded usage scenario. </w:t>
      </w:r>
    </w:p>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eastAsiaTheme="minorEastAsia"/>
        </w:rPr>
      </w:pPr>
      <w:r>
        <w:rPr>
          <w:rFonts w:hint="eastAsia" w:eastAsiaTheme="minorEastAsia"/>
        </w:rPr>
        <w:t>When carrying out the study, an initial step is to determine the areas to be explored, i.e. skeleton of the outcome TR of the study. For the time being, three stable sources can be taken into account</w:t>
      </w:r>
    </w:p>
    <w:p>
      <w:pPr>
        <w:pStyle w:val="111"/>
        <w:keepNext w:val="0"/>
        <w:keepLines w:val="0"/>
        <w:pageBreakBefore w:val="0"/>
        <w:widowControl/>
        <w:numPr>
          <w:ilvl w:val="0"/>
          <w:numId w:val="16"/>
        </w:numPr>
        <w:kinsoku/>
        <w:wordWrap/>
        <w:overflowPunct/>
        <w:topLinePunct w:val="0"/>
        <w:autoSpaceDE/>
        <w:autoSpaceDN/>
        <w:bidi w:val="0"/>
        <w:adjustRightInd/>
        <w:snapToGrid w:val="0"/>
        <w:spacing w:before="120" w:after="120" w:line="240" w:lineRule="auto"/>
        <w:ind w:firstLineChars="0"/>
        <w:jc w:val="both"/>
        <w:textAlignment w:val="auto"/>
        <w:rPr>
          <w:rFonts w:eastAsiaTheme="minorEastAsia"/>
        </w:rPr>
      </w:pPr>
      <w:r>
        <w:rPr>
          <w:rFonts w:hint="eastAsia" w:eastAsiaTheme="minorEastAsia"/>
        </w:rPr>
        <w:t>TR 38.913 with KPIs resulting from 3GPP study</w:t>
      </w:r>
    </w:p>
    <w:p>
      <w:pPr>
        <w:pStyle w:val="111"/>
        <w:keepNext w:val="0"/>
        <w:keepLines w:val="0"/>
        <w:pageBreakBefore w:val="0"/>
        <w:widowControl/>
        <w:numPr>
          <w:ilvl w:val="0"/>
          <w:numId w:val="16"/>
        </w:numPr>
        <w:kinsoku/>
        <w:wordWrap/>
        <w:overflowPunct/>
        <w:topLinePunct w:val="0"/>
        <w:autoSpaceDE/>
        <w:autoSpaceDN/>
        <w:bidi w:val="0"/>
        <w:adjustRightInd/>
        <w:snapToGrid w:val="0"/>
        <w:spacing w:before="120" w:after="120" w:line="240" w:lineRule="auto"/>
        <w:ind w:firstLineChars="0"/>
        <w:jc w:val="both"/>
        <w:textAlignment w:val="auto"/>
        <w:rPr>
          <w:rFonts w:eastAsiaTheme="minorEastAsia"/>
        </w:rPr>
      </w:pPr>
      <w:r>
        <w:rPr>
          <w:rFonts w:hint="eastAsia" w:eastAsiaTheme="minorEastAsia"/>
        </w:rPr>
        <w:t>ITU-R M.2410 with requirements for IMT-2020</w:t>
      </w:r>
    </w:p>
    <w:p>
      <w:pPr>
        <w:pStyle w:val="111"/>
        <w:keepNext w:val="0"/>
        <w:keepLines w:val="0"/>
        <w:pageBreakBefore w:val="0"/>
        <w:widowControl/>
        <w:numPr>
          <w:ilvl w:val="0"/>
          <w:numId w:val="16"/>
        </w:numPr>
        <w:kinsoku/>
        <w:wordWrap/>
        <w:overflowPunct/>
        <w:topLinePunct w:val="0"/>
        <w:autoSpaceDE/>
        <w:autoSpaceDN/>
        <w:bidi w:val="0"/>
        <w:adjustRightInd/>
        <w:snapToGrid w:val="0"/>
        <w:spacing w:before="120" w:after="120" w:line="240" w:lineRule="auto"/>
        <w:ind w:firstLineChars="0"/>
        <w:jc w:val="both"/>
        <w:textAlignment w:val="auto"/>
        <w:rPr>
          <w:rFonts w:eastAsiaTheme="minorEastAsia"/>
        </w:rPr>
      </w:pPr>
      <w:r>
        <w:rPr>
          <w:rFonts w:hint="eastAsia" w:eastAsiaTheme="minorEastAsia"/>
        </w:rPr>
        <w:t>ITU-R M.2160 with capabilities terms for IMT-2030</w:t>
      </w:r>
    </w:p>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eastAsiaTheme="minorEastAsia"/>
        </w:rPr>
      </w:pPr>
      <w:r>
        <w:rPr>
          <w:rFonts w:hint="eastAsia" w:eastAsiaTheme="minorEastAsia"/>
        </w:rPr>
        <w:t>As time goes on, stable SA1 study outcome and ITU-R WP5D discussion outcome may also appear to be sources of KPIs for technical performance requirements. The following bullet list is from a simple consolidation of radio requirements from the three sources.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X.1 </w:t>
            </w:r>
            <w:r>
              <w:rPr>
                <w:rFonts w:hint="eastAsia"/>
              </w:rPr>
              <w:t>Peak data rate</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X.2 </w:t>
            </w:r>
            <w:r>
              <w:rPr>
                <w:rFonts w:hint="eastAsia"/>
              </w:rPr>
              <w:t xml:space="preserve">Peak </w:t>
            </w:r>
            <w:r>
              <w:t>Spectral efficiency</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X.3 </w:t>
            </w:r>
            <w:r>
              <w:t>Bandwidth</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X.4 </w:t>
            </w:r>
            <w:r>
              <w:t>Control plane latency</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X.5 </w:t>
            </w:r>
            <w:r>
              <w:t>User plane latency</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X.6 </w:t>
            </w:r>
            <w:r>
              <w:rPr>
                <w:rFonts w:eastAsiaTheme="minorEastAsia"/>
              </w:rPr>
              <w:t>Latency for infrequent small packets</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X.7 </w:t>
            </w:r>
            <w:r>
              <w:rPr>
                <w:rFonts w:hint="eastAsia"/>
              </w:rPr>
              <w:t>M</w:t>
            </w:r>
            <w:r>
              <w:t>obility interruption time</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X.8 </w:t>
            </w:r>
            <w:r>
              <w:t>Inter-system</w:t>
            </w:r>
            <w:r>
              <w:rPr>
                <w:rFonts w:hint="eastAsia"/>
              </w:rPr>
              <w:t xml:space="preserve"> </w:t>
            </w:r>
            <w:r>
              <w:t>mobility</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X.9 </w:t>
            </w:r>
            <w:r>
              <w:t>Reliability</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X.10 </w:t>
            </w:r>
            <w:r>
              <w:t>Coverage</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X.10.1 Extreme Coverage</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X.11 </w:t>
            </w:r>
            <w:r>
              <w:t>UE battery life</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X.12 </w:t>
            </w:r>
            <w:r>
              <w:t>UE energy efficiency</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highlight w:val="cyan"/>
              </w:rPr>
            </w:pPr>
            <w:r>
              <w:rPr>
                <w:rFonts w:hint="eastAsia" w:eastAsiaTheme="minorEastAsia"/>
                <w:highlight w:val="cyan"/>
              </w:rPr>
              <w:t>Y.1 Energy Efficiency</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highlight w:val="cyan"/>
              </w:rPr>
            </w:pPr>
            <w:r>
              <w:rPr>
                <w:rFonts w:hint="eastAsia" w:eastAsiaTheme="minorEastAsia"/>
                <w:highlight w:val="cyan"/>
              </w:rPr>
              <w:t>Y.2 Average spectral efficiency</w:t>
            </w:r>
            <w:r>
              <w:rPr>
                <w:rFonts w:hint="eastAsia" w:eastAsiaTheme="minorEastAsia"/>
              </w:rPr>
              <w:t xml:space="preserve"> (X.13 </w:t>
            </w:r>
            <w:r>
              <w:rPr>
                <w:rFonts w:hint="eastAsia"/>
              </w:rPr>
              <w:t>Cell/</w:t>
            </w:r>
            <w:r>
              <w:t>Transmission Point</w:t>
            </w:r>
            <w:r>
              <w:rPr>
                <w:rFonts w:hint="eastAsia"/>
              </w:rPr>
              <w:t>/TRP</w:t>
            </w:r>
            <w:r>
              <w:rPr>
                <w:rFonts w:hint="eastAsia" w:eastAsia="宋体"/>
              </w:rPr>
              <w:t>x</w:t>
            </w:r>
            <w:r>
              <w:t xml:space="preserve"> spectral efficiency</w:t>
            </w:r>
            <w:r>
              <w:rPr>
                <w:rFonts w:hint="eastAsia" w:eastAsiaTheme="minorEastAsia"/>
              </w:rPr>
              <w:t>)</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X.14 </w:t>
            </w:r>
            <w:r>
              <w:t>Area traffic capacity</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X.15 </w:t>
            </w:r>
            <w:r>
              <w:t>User experienced data rate</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X.16 </w:t>
            </w:r>
            <w:r>
              <w:t>5th percentile user spectrum efficiency</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X.17 </w:t>
            </w:r>
            <w:r>
              <w:t>Connection density</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 xml:space="preserve">X.18 </w:t>
            </w:r>
            <w:r>
              <w:t>Mobility</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rPr>
            </w:pPr>
            <w:r>
              <w:rPr>
                <w:rFonts w:hint="eastAsia" w:eastAsiaTheme="minorEastAsia"/>
              </w:rPr>
              <w:t>X.19 N</w:t>
            </w:r>
            <w:r>
              <w:rPr>
                <w:rFonts w:hint="eastAsia"/>
              </w:rPr>
              <w:t>etwork</w:t>
            </w:r>
            <w:r>
              <w:t xml:space="preserve"> </w:t>
            </w:r>
            <w:r>
              <w:rPr>
                <w:rFonts w:hint="eastAsia"/>
              </w:rPr>
              <w:t>e</w:t>
            </w:r>
            <w:r>
              <w:t>nergy efficiency</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highlight w:val="lightGray"/>
              </w:rPr>
            </w:pPr>
            <w:r>
              <w:rPr>
                <w:rFonts w:hint="eastAsia" w:eastAsiaTheme="minorEastAsia"/>
                <w:highlight w:val="lightGray"/>
              </w:rPr>
              <w:t>Z.1 Positioning</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highlight w:val="lightGray"/>
              </w:rPr>
            </w:pPr>
            <w:r>
              <w:rPr>
                <w:rFonts w:hint="eastAsia" w:eastAsiaTheme="minorEastAsia"/>
                <w:highlight w:val="lightGray"/>
              </w:rPr>
              <w:t>Z.2 Sensing-related capabilities</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highlight w:val="lightGray"/>
              </w:rPr>
            </w:pPr>
            <w:r>
              <w:rPr>
                <w:rFonts w:hint="eastAsia" w:eastAsiaTheme="minorEastAsia"/>
                <w:highlight w:val="lightGray"/>
              </w:rPr>
              <w:t>Z.3 Applicable AI-related capabilities</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highlight w:val="lightGray"/>
              </w:rPr>
            </w:pPr>
            <w:r>
              <w:rPr>
                <w:rFonts w:hint="eastAsia" w:eastAsiaTheme="minorEastAsia"/>
                <w:highlight w:val="lightGray"/>
              </w:rPr>
              <w:t>Z.4 Security and Resilience</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highlight w:val="lightGray"/>
              </w:rPr>
            </w:pPr>
            <w:r>
              <w:rPr>
                <w:rFonts w:hint="eastAsia" w:eastAsiaTheme="minorEastAsia"/>
                <w:highlight w:val="lightGray"/>
              </w:rPr>
              <w:t>Z.5 Sustainability</w:t>
            </w:r>
          </w:p>
          <w:p>
            <w:pPr>
              <w:pStyle w:val="111"/>
              <w:keepNext w:val="0"/>
              <w:keepLines w:val="0"/>
              <w:pageBreakBefore w:val="0"/>
              <w:widowControl/>
              <w:numPr>
                <w:ilvl w:val="0"/>
                <w:numId w:val="17"/>
              </w:numPr>
              <w:kinsoku/>
              <w:wordWrap/>
              <w:overflowPunct/>
              <w:topLinePunct w:val="0"/>
              <w:autoSpaceDE/>
              <w:autoSpaceDN/>
              <w:bidi w:val="0"/>
              <w:adjustRightInd/>
              <w:snapToGrid w:val="0"/>
              <w:spacing w:before="120" w:after="120" w:line="240" w:lineRule="auto"/>
              <w:ind w:left="567" w:firstLineChars="0"/>
              <w:textAlignment w:val="auto"/>
              <w:rPr>
                <w:rFonts w:eastAsiaTheme="minorEastAsia"/>
                <w:highlight w:val="lightGray"/>
              </w:rPr>
            </w:pPr>
            <w:r>
              <w:rPr>
                <w:rFonts w:hint="eastAsia" w:eastAsiaTheme="minorEastAsia"/>
                <w:highlight w:val="lightGray"/>
              </w:rPr>
              <w:t>Z.6 Interoperability</w:t>
            </w:r>
          </w:p>
        </w:tc>
      </w:tr>
    </w:tbl>
    <w:p>
      <w:pPr>
        <w:keepNext w:val="0"/>
        <w:keepLines w:val="0"/>
        <w:pageBreakBefore w:val="0"/>
        <w:widowControl/>
        <w:kinsoku/>
        <w:wordWrap/>
        <w:overflowPunct/>
        <w:topLinePunct w:val="0"/>
        <w:autoSpaceDE/>
        <w:autoSpaceDN/>
        <w:bidi w:val="0"/>
        <w:adjustRightInd/>
        <w:snapToGrid w:val="0"/>
        <w:spacing w:before="120" w:after="120" w:line="240" w:lineRule="auto"/>
        <w:textAlignment w:val="auto"/>
        <w:rPr>
          <w:rFonts w:eastAsiaTheme="minorEastAsia"/>
          <w:highlight w:val="none"/>
        </w:rPr>
      </w:pPr>
      <w:r>
        <w:rPr>
          <w:rFonts w:hint="eastAsia" w:eastAsiaTheme="minorEastAsia"/>
          <w:highlight w:val="none"/>
        </w:rPr>
        <w:t>N</w:t>
      </w:r>
      <w:r>
        <w:rPr>
          <w:rFonts w:eastAsiaTheme="minorEastAsia"/>
          <w:highlight w:val="none"/>
        </w:rPr>
        <w:t xml:space="preserve">ote: </w:t>
      </w:r>
    </w:p>
    <w:p>
      <w:pPr>
        <w:pStyle w:val="111"/>
        <w:keepNext w:val="0"/>
        <w:keepLines w:val="0"/>
        <w:pageBreakBefore w:val="0"/>
        <w:widowControl/>
        <w:numPr>
          <w:ilvl w:val="0"/>
          <w:numId w:val="18"/>
        </w:numPr>
        <w:kinsoku/>
        <w:wordWrap/>
        <w:overflowPunct/>
        <w:topLinePunct w:val="0"/>
        <w:autoSpaceDE/>
        <w:autoSpaceDN/>
        <w:bidi w:val="0"/>
        <w:adjustRightInd/>
        <w:snapToGrid w:val="0"/>
        <w:spacing w:before="120" w:after="120" w:line="240" w:lineRule="auto"/>
        <w:ind w:left="709" w:firstLineChars="0"/>
        <w:textAlignment w:val="auto"/>
        <w:rPr>
          <w:rFonts w:eastAsiaTheme="minorEastAsia"/>
          <w:highlight w:val="none"/>
        </w:rPr>
      </w:pPr>
      <w:r>
        <w:rPr>
          <w:rFonts w:eastAsiaTheme="minorEastAsia"/>
          <w:highlight w:val="none"/>
        </w:rPr>
        <w:t>X</w:t>
      </w:r>
      <w:r>
        <w:rPr>
          <w:rFonts w:hint="eastAsia" w:eastAsiaTheme="minorEastAsia"/>
          <w:highlight w:val="none"/>
        </w:rPr>
        <w:t>.1 ~ X.19</w:t>
      </w:r>
      <w:r>
        <w:rPr>
          <w:rFonts w:eastAsiaTheme="minorEastAsia"/>
          <w:highlight w:val="none"/>
        </w:rPr>
        <w:t xml:space="preserve"> </w:t>
      </w:r>
      <w:r>
        <w:rPr>
          <w:rFonts w:hint="eastAsia" w:eastAsiaTheme="minorEastAsia"/>
          <w:highlight w:val="none"/>
        </w:rPr>
        <w:t>refer to KPI items from TR 38.913</w:t>
      </w:r>
    </w:p>
    <w:p>
      <w:pPr>
        <w:pStyle w:val="111"/>
        <w:keepNext w:val="0"/>
        <w:keepLines w:val="0"/>
        <w:pageBreakBefore w:val="0"/>
        <w:widowControl/>
        <w:numPr>
          <w:ilvl w:val="0"/>
          <w:numId w:val="18"/>
        </w:numPr>
        <w:kinsoku/>
        <w:wordWrap/>
        <w:overflowPunct/>
        <w:topLinePunct w:val="0"/>
        <w:autoSpaceDE/>
        <w:autoSpaceDN/>
        <w:bidi w:val="0"/>
        <w:adjustRightInd/>
        <w:snapToGrid w:val="0"/>
        <w:spacing w:before="120" w:after="120" w:line="240" w:lineRule="auto"/>
        <w:ind w:left="709" w:firstLineChars="0"/>
        <w:textAlignment w:val="auto"/>
        <w:rPr>
          <w:rFonts w:eastAsiaTheme="minorEastAsia"/>
          <w:highlight w:val="none"/>
        </w:rPr>
      </w:pPr>
      <w:r>
        <w:rPr>
          <w:rFonts w:eastAsiaTheme="minorEastAsia"/>
          <w:highlight w:val="none"/>
        </w:rPr>
        <w:t>Y</w:t>
      </w:r>
      <w:r>
        <w:rPr>
          <w:rFonts w:hint="eastAsia" w:eastAsiaTheme="minorEastAsia"/>
          <w:highlight w:val="none"/>
        </w:rPr>
        <w:t xml:space="preserve">.1 ~ Y.2 </w:t>
      </w:r>
      <w:r>
        <w:rPr>
          <w:rFonts w:eastAsiaTheme="minorEastAsia"/>
          <w:highlight w:val="none"/>
        </w:rPr>
        <w:t xml:space="preserve"> </w:t>
      </w:r>
      <w:r>
        <w:rPr>
          <w:rFonts w:hint="eastAsia" w:eastAsiaTheme="minorEastAsia"/>
          <w:highlight w:val="none"/>
        </w:rPr>
        <w:t>refer to the additional requirements from ITU-R M.2410</w:t>
      </w:r>
    </w:p>
    <w:p>
      <w:pPr>
        <w:pStyle w:val="111"/>
        <w:keepNext w:val="0"/>
        <w:keepLines w:val="0"/>
        <w:pageBreakBefore w:val="0"/>
        <w:widowControl/>
        <w:numPr>
          <w:ilvl w:val="0"/>
          <w:numId w:val="18"/>
        </w:numPr>
        <w:kinsoku/>
        <w:wordWrap/>
        <w:overflowPunct/>
        <w:topLinePunct w:val="0"/>
        <w:autoSpaceDE/>
        <w:autoSpaceDN/>
        <w:bidi w:val="0"/>
        <w:adjustRightInd/>
        <w:snapToGrid w:val="0"/>
        <w:spacing w:before="120" w:after="120" w:line="240" w:lineRule="auto"/>
        <w:ind w:left="709" w:firstLineChars="0"/>
        <w:textAlignment w:val="auto"/>
        <w:rPr>
          <w:rFonts w:eastAsiaTheme="minorEastAsia"/>
          <w:highlight w:val="none"/>
        </w:rPr>
      </w:pPr>
      <w:r>
        <w:rPr>
          <w:rFonts w:eastAsiaTheme="minorEastAsia"/>
          <w:highlight w:val="none"/>
        </w:rPr>
        <w:t>Z</w:t>
      </w:r>
      <w:r>
        <w:rPr>
          <w:rFonts w:hint="eastAsia" w:eastAsiaTheme="minorEastAsia"/>
          <w:highlight w:val="none"/>
        </w:rPr>
        <w:t>.1 ~ Z.6 refer to the capability terms from</w:t>
      </w:r>
      <w:r>
        <w:rPr>
          <w:rFonts w:eastAsiaTheme="minorEastAsia"/>
          <w:highlight w:val="none"/>
        </w:rPr>
        <w:t xml:space="preserve"> </w:t>
      </w:r>
      <w:r>
        <w:rPr>
          <w:rFonts w:hint="eastAsia" w:eastAsiaTheme="minorEastAsia"/>
          <w:highlight w:val="none"/>
        </w:rPr>
        <w:t>ITU-R M. 2160</w:t>
      </w:r>
    </w:p>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eastAsiaTheme="minorEastAsia"/>
          <w:highlight w:val="none"/>
        </w:rPr>
      </w:pPr>
      <w:r>
        <w:rPr>
          <w:rFonts w:hint="eastAsia" w:eastAsiaTheme="minorEastAsia"/>
          <w:highlight w:val="none"/>
        </w:rPr>
        <w:t>Towards a harmonized set of items by the end of SI, the following thinking may be helpful,</w:t>
      </w:r>
    </w:p>
    <w:p>
      <w:pPr>
        <w:pStyle w:val="111"/>
        <w:keepNext w:val="0"/>
        <w:keepLines w:val="0"/>
        <w:pageBreakBefore w:val="0"/>
        <w:widowControl/>
        <w:numPr>
          <w:ilvl w:val="0"/>
          <w:numId w:val="19"/>
        </w:numPr>
        <w:kinsoku/>
        <w:wordWrap/>
        <w:overflowPunct/>
        <w:topLinePunct w:val="0"/>
        <w:autoSpaceDE/>
        <w:autoSpaceDN/>
        <w:bidi w:val="0"/>
        <w:adjustRightInd/>
        <w:snapToGrid w:val="0"/>
        <w:spacing w:before="120" w:after="120" w:line="240" w:lineRule="auto"/>
        <w:ind w:firstLineChars="0"/>
        <w:jc w:val="both"/>
        <w:textAlignment w:val="auto"/>
        <w:rPr>
          <w:rFonts w:eastAsiaTheme="minorEastAsia"/>
          <w:highlight w:val="none"/>
        </w:rPr>
      </w:pPr>
      <w:r>
        <w:rPr>
          <w:rFonts w:hint="eastAsia" w:eastAsiaTheme="minorEastAsia"/>
          <w:highlight w:val="none"/>
        </w:rPr>
        <w:t xml:space="preserve">For those items of similar nature, e.g. Y.2 Average spectral efficiency and X.13 </w:t>
      </w:r>
      <w:r>
        <w:rPr>
          <w:rFonts w:hint="eastAsia"/>
          <w:highlight w:val="none"/>
        </w:rPr>
        <w:t>Cell/</w:t>
      </w:r>
      <w:r>
        <w:rPr>
          <w:highlight w:val="none"/>
        </w:rPr>
        <w:t>Transmission Point</w:t>
      </w:r>
      <w:r>
        <w:rPr>
          <w:rFonts w:hint="eastAsia"/>
          <w:highlight w:val="none"/>
        </w:rPr>
        <w:t>/TRP</w:t>
      </w:r>
      <w:r>
        <w:rPr>
          <w:rFonts w:hint="eastAsia" w:eastAsia="宋体"/>
          <w:highlight w:val="none"/>
        </w:rPr>
        <w:t>x</w:t>
      </w:r>
      <w:r>
        <w:rPr>
          <w:highlight w:val="none"/>
        </w:rPr>
        <w:t xml:space="preserve"> spectral efficiency</w:t>
      </w:r>
      <w:bookmarkStart w:id="2" w:name="OLE_LINK1"/>
      <w:bookmarkStart w:id="3" w:name="OLE_LINK2"/>
      <w:r>
        <w:rPr>
          <w:rFonts w:hint="eastAsia" w:eastAsiaTheme="minorEastAsia"/>
          <w:highlight w:val="none"/>
        </w:rPr>
        <w:t>. The item shall be forward compatible with new antenna layouts which may not have been pursued in previous generation. Moreover, the KPI value setting which is a multiplication based on the technology of previous generation should consider the additional</w:t>
      </w:r>
      <w:bookmarkStart w:id="4" w:name="OLE_LINK4"/>
      <w:r>
        <w:rPr>
          <w:rFonts w:hint="eastAsia" w:eastAsiaTheme="minorEastAsia"/>
          <w:highlight w:val="none"/>
        </w:rPr>
        <w:t xml:space="preserve"> DoF </w:t>
      </w:r>
      <w:bookmarkEnd w:id="4"/>
      <w:r>
        <w:rPr>
          <w:rFonts w:hint="eastAsia" w:eastAsiaTheme="minorEastAsia"/>
          <w:highlight w:val="none"/>
        </w:rPr>
        <w:t xml:space="preserve">harvesting compared with previous generation baseline. </w:t>
      </w:r>
      <w:bookmarkEnd w:id="2"/>
      <w:bookmarkEnd w:id="3"/>
    </w:p>
    <w:p>
      <w:pPr>
        <w:pStyle w:val="111"/>
        <w:keepNext w:val="0"/>
        <w:keepLines w:val="0"/>
        <w:pageBreakBefore w:val="0"/>
        <w:widowControl/>
        <w:numPr>
          <w:ilvl w:val="0"/>
          <w:numId w:val="19"/>
        </w:numPr>
        <w:kinsoku/>
        <w:wordWrap/>
        <w:overflowPunct/>
        <w:topLinePunct w:val="0"/>
        <w:autoSpaceDE/>
        <w:autoSpaceDN/>
        <w:bidi w:val="0"/>
        <w:adjustRightInd/>
        <w:snapToGrid w:val="0"/>
        <w:spacing w:before="120" w:after="120" w:line="240" w:lineRule="auto"/>
        <w:ind w:firstLineChars="0"/>
        <w:jc w:val="both"/>
        <w:textAlignment w:val="auto"/>
        <w:rPr>
          <w:rFonts w:eastAsiaTheme="minorEastAsia"/>
          <w:highlight w:val="none"/>
        </w:rPr>
      </w:pPr>
      <w:r>
        <w:rPr>
          <w:rFonts w:hint="eastAsia" w:eastAsiaTheme="minorEastAsia"/>
          <w:highlight w:val="none"/>
        </w:rPr>
        <w:t>For those items delivering next level details e.g. N</w:t>
      </w:r>
      <w:r>
        <w:rPr>
          <w:rFonts w:hint="eastAsia"/>
          <w:highlight w:val="none"/>
        </w:rPr>
        <w:t>etwork</w:t>
      </w:r>
      <w:r>
        <w:rPr>
          <w:highlight w:val="none"/>
        </w:rPr>
        <w:t xml:space="preserve"> </w:t>
      </w:r>
      <w:r>
        <w:rPr>
          <w:rFonts w:hint="eastAsia"/>
          <w:highlight w:val="none"/>
        </w:rPr>
        <w:t>e</w:t>
      </w:r>
      <w:r>
        <w:rPr>
          <w:highlight w:val="none"/>
        </w:rPr>
        <w:t>nergy efficiency</w:t>
      </w:r>
      <w:r>
        <w:rPr>
          <w:rFonts w:hint="eastAsia" w:eastAsiaTheme="minorEastAsia"/>
          <w:highlight w:val="none"/>
        </w:rPr>
        <w:t>/</w:t>
      </w:r>
      <w:r>
        <w:rPr>
          <w:highlight w:val="none"/>
        </w:rPr>
        <w:t>UE battery life</w:t>
      </w:r>
      <w:r>
        <w:rPr>
          <w:rFonts w:hint="eastAsia" w:eastAsiaTheme="minorEastAsia"/>
          <w:highlight w:val="none"/>
        </w:rPr>
        <w:t>/</w:t>
      </w:r>
      <w:r>
        <w:rPr>
          <w:highlight w:val="none"/>
        </w:rPr>
        <w:t>UE energy efficiency</w:t>
      </w:r>
      <w:r>
        <w:rPr>
          <w:rFonts w:hint="eastAsia" w:eastAsiaTheme="minorEastAsia"/>
          <w:highlight w:val="none"/>
        </w:rPr>
        <w:t xml:space="preserve"> under Energy Efficiency, a more ITU focused compact technical performance requirement may be worth pursuing.</w:t>
      </w:r>
    </w:p>
    <w:p>
      <w:pPr>
        <w:pStyle w:val="111"/>
        <w:keepNext w:val="0"/>
        <w:keepLines w:val="0"/>
        <w:pageBreakBefore w:val="0"/>
        <w:widowControl/>
        <w:numPr>
          <w:ilvl w:val="0"/>
          <w:numId w:val="19"/>
        </w:numPr>
        <w:kinsoku/>
        <w:wordWrap/>
        <w:overflowPunct/>
        <w:topLinePunct w:val="0"/>
        <w:autoSpaceDE/>
        <w:autoSpaceDN/>
        <w:bidi w:val="0"/>
        <w:adjustRightInd/>
        <w:snapToGrid w:val="0"/>
        <w:spacing w:before="120" w:after="120" w:line="240" w:lineRule="auto"/>
        <w:ind w:firstLineChars="0"/>
        <w:jc w:val="both"/>
        <w:textAlignment w:val="auto"/>
        <w:rPr>
          <w:rFonts w:eastAsiaTheme="minorEastAsia"/>
          <w:highlight w:val="none"/>
        </w:rPr>
      </w:pPr>
      <w:r>
        <w:rPr>
          <w:rFonts w:hint="eastAsia" w:eastAsiaTheme="minorEastAsia"/>
          <w:highlight w:val="none"/>
        </w:rPr>
        <w:t>The item list may</w:t>
      </w:r>
      <w:r>
        <w:rPr>
          <w:rFonts w:eastAsiaTheme="minorEastAsia"/>
          <w:highlight w:val="none"/>
        </w:rPr>
        <w:t xml:space="preserve"> be</w:t>
      </w:r>
      <w:r>
        <w:rPr>
          <w:rFonts w:hint="eastAsia" w:eastAsiaTheme="minorEastAsia"/>
          <w:highlight w:val="none"/>
        </w:rPr>
        <w:t xml:space="preserve"> expand</w:t>
      </w:r>
      <w:r>
        <w:rPr>
          <w:rFonts w:eastAsiaTheme="minorEastAsia"/>
          <w:highlight w:val="none"/>
        </w:rPr>
        <w:t>ed</w:t>
      </w:r>
      <w:r>
        <w:rPr>
          <w:rFonts w:hint="eastAsia" w:eastAsiaTheme="minorEastAsia"/>
          <w:highlight w:val="none"/>
        </w:rPr>
        <w:t xml:space="preserve"> with the ITU-R WP5D discussion</w:t>
      </w:r>
      <w:r>
        <w:rPr>
          <w:rFonts w:eastAsiaTheme="minorEastAsia"/>
          <w:highlight w:val="none"/>
        </w:rPr>
        <w:t>.</w:t>
      </w:r>
      <w:r>
        <w:rPr>
          <w:rFonts w:hint="eastAsia" w:eastAsiaTheme="minorEastAsia"/>
          <w:highlight w:val="none"/>
        </w:rPr>
        <w:t xml:space="preserve"> 3GPP </w:t>
      </w:r>
      <w:r>
        <w:rPr>
          <w:rFonts w:eastAsiaTheme="minorEastAsia"/>
          <w:highlight w:val="none"/>
        </w:rPr>
        <w:t>RP SI Rel-20 focusing on ITU– IMT-2030</w:t>
      </w:r>
      <w:r>
        <w:rPr>
          <w:rFonts w:hint="eastAsia" w:eastAsiaTheme="minorEastAsia"/>
          <w:highlight w:val="none"/>
        </w:rPr>
        <w:t xml:space="preserve"> should determine and focus on the items that aid ITU discussion. When it comes to </w:t>
      </w:r>
      <w:bookmarkStart w:id="5" w:name="OLE_LINK6"/>
      <w:r>
        <w:rPr>
          <w:rFonts w:hint="eastAsia" w:eastAsiaTheme="minorEastAsia"/>
          <w:highlight w:val="none"/>
        </w:rPr>
        <w:t xml:space="preserve">quantitative </w:t>
      </w:r>
      <w:bookmarkEnd w:id="5"/>
      <w:r>
        <w:rPr>
          <w:rFonts w:hint="eastAsia" w:eastAsiaTheme="minorEastAsia"/>
          <w:highlight w:val="none"/>
        </w:rPr>
        <w:t>items (e.g. peak data rate) and qualitative items, it's observed that the value setting/deployment scenario/evaluation methodology developed in 3GPP is informative and aid discussion in ITU.</w:t>
      </w:r>
    </w:p>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eastAsiaTheme="minorEastAsia"/>
          <w:highlight w:val="none"/>
        </w:rPr>
      </w:pPr>
      <w:r>
        <w:rPr>
          <w:rFonts w:hint="eastAsia" w:eastAsiaTheme="minorEastAsia"/>
          <w:highlight w:val="none"/>
        </w:rPr>
        <w:t xml:space="preserve">Apart from the </w:t>
      </w:r>
      <w:r>
        <w:rPr>
          <w:rFonts w:eastAsiaTheme="minorEastAsia"/>
          <w:highlight w:val="none"/>
        </w:rPr>
        <w:t xml:space="preserve">TPR/KPI </w:t>
      </w:r>
      <w:r>
        <w:rPr>
          <w:rFonts w:hint="eastAsia" w:eastAsiaTheme="minorEastAsia"/>
          <w:highlight w:val="none"/>
        </w:rPr>
        <w:t xml:space="preserve">items, it's equally important to develop the typical deployment scenarios which may serve as test environments for technical performance requirement values in ITU IMT-2030 discussion. Similar to the aforementioned principle when we discuss items, one can list a tentative list of deployment scenario for further study. However, it's important that the number of deployment scenarios directly impacting the test environments/technical performance requirement values </w:t>
      </w:r>
      <w:r>
        <w:rPr>
          <w:rFonts w:eastAsiaTheme="minorEastAsia"/>
          <w:highlight w:val="none"/>
        </w:rPr>
        <w:t>should be</w:t>
      </w:r>
      <w:r>
        <w:rPr>
          <w:rFonts w:hint="eastAsia" w:eastAsiaTheme="minorEastAsia"/>
          <w:highlight w:val="none"/>
        </w:rPr>
        <w:t xml:space="preserve"> rigorously controlled when it comes to the development of the deployment scenarios.</w:t>
      </w:r>
    </w:p>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eastAsiaTheme="minorEastAsia"/>
          <w:highlight w:val="none"/>
        </w:rPr>
      </w:pPr>
      <w:r>
        <w:rPr>
          <w:rFonts w:hint="eastAsia" w:eastAsiaTheme="minorEastAsia"/>
          <w:highlight w:val="none"/>
        </w:rPr>
        <w:t xml:space="preserve">One useful approach may be to determine the typical deployment scenario/harmonized set </w:t>
      </w:r>
      <w:r>
        <w:rPr>
          <w:rFonts w:eastAsiaTheme="minorEastAsia"/>
          <w:highlight w:val="none"/>
        </w:rPr>
        <w:t>and of the corresponding</w:t>
      </w:r>
      <w:r>
        <w:rPr>
          <w:rFonts w:hint="eastAsia" w:eastAsiaTheme="minorEastAsia"/>
          <w:highlight w:val="none"/>
        </w:rPr>
        <w:t xml:space="preserve"> items through a categorization approach. Figure.1 provides a rough categorization of the merged items from ITU-R M.2410 and M.2160 depending on whether there was previous 5G-A evaluation/associated M.2160 capability and M.2410 TPR. Table.A 1 ~ Table.A 4 in Appendix encapsulate the detailed mapping between items and umbrella names in Figure.1.</w:t>
      </w:r>
    </w:p>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eastAsiaTheme="minorEastAsia"/>
          <w:highlight w:val="none"/>
        </w:rPr>
      </w:pPr>
      <w:r>
        <w:rPr>
          <w:rFonts w:hint="eastAsia" w:eastAsiaTheme="minorEastAsia"/>
          <w:highlight w:val="none"/>
        </w:rPr>
        <w:t>Cat.1 TPR is both M.2410 TPR and M.2160 capability terms, thus these TPR items and deployment scenarios associated with the relevant test environments need to be set accordingly.</w:t>
      </w:r>
    </w:p>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eastAsiaTheme="minorEastAsia"/>
          <w:highlight w:val="none"/>
        </w:rPr>
      </w:pPr>
      <w:r>
        <w:rPr>
          <w:rFonts w:hint="eastAsia" w:eastAsiaTheme="minorEastAsia"/>
          <w:highlight w:val="none"/>
        </w:rPr>
        <w:t>Cat .2 TPR, though not explicit M.2160 capability terms, have corresponding M.2410 TPR and thus evaluation. Whether to have such TPR items in the harmonized set is more of a necessity check without difficult for potential convergence for new deployment scenarios/evaluation methodology.</w:t>
      </w:r>
    </w:p>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hint="eastAsia" w:eastAsiaTheme="minorEastAsia"/>
          <w:highlight w:val="none"/>
        </w:rPr>
      </w:pPr>
      <w:r>
        <w:rPr>
          <w:rFonts w:hint="eastAsia" w:eastAsiaTheme="minorEastAsia"/>
          <w:highlight w:val="none"/>
        </w:rPr>
        <w:t>Cat 3 TPR, however, ha</w:t>
      </w:r>
      <w:r>
        <w:rPr>
          <w:rFonts w:eastAsiaTheme="minorEastAsia"/>
          <w:highlight w:val="none"/>
        </w:rPr>
        <w:t>s</w:t>
      </w:r>
      <w:r>
        <w:rPr>
          <w:rFonts w:hint="eastAsia" w:eastAsiaTheme="minorEastAsia"/>
          <w:highlight w:val="none"/>
        </w:rPr>
        <w:t xml:space="preserve"> </w:t>
      </w:r>
      <w:r>
        <w:rPr>
          <w:rFonts w:eastAsiaTheme="minorEastAsia"/>
          <w:highlight w:val="none"/>
        </w:rPr>
        <w:t xml:space="preserve">no </w:t>
      </w:r>
      <w:r>
        <w:rPr>
          <w:rFonts w:hint="eastAsia" w:eastAsiaTheme="minorEastAsia"/>
          <w:highlight w:val="none"/>
        </w:rPr>
        <w:t>explicit M.2410 capability terms,</w:t>
      </w:r>
      <w:r>
        <w:rPr>
          <w:rFonts w:hint="eastAsia" w:eastAsiaTheme="minorEastAsia"/>
          <w:highlight w:val="none"/>
          <w:lang w:val="en-US" w:eastAsia="zh-CN"/>
        </w:rPr>
        <w:t>description</w:t>
      </w:r>
      <w:r>
        <w:rPr>
          <w:rFonts w:eastAsiaTheme="minorEastAsia"/>
          <w:highlight w:val="none"/>
        </w:rPr>
        <w:t xml:space="preserve"> </w:t>
      </w:r>
      <w:r>
        <w:rPr>
          <w:rFonts w:hint="eastAsia" w:eastAsiaTheme="minorEastAsia"/>
          <w:highlight w:val="none"/>
        </w:rPr>
        <w:t>no 5G-A evaluation methodology</w:t>
      </w:r>
      <w:r>
        <w:rPr>
          <w:rFonts w:hint="eastAsia" w:eastAsiaTheme="minorEastAsia"/>
          <w:highlight w:val="none"/>
          <w:lang w:val="en-US" w:eastAsia="zh-CN"/>
        </w:rPr>
        <w:t xml:space="preserve">, but have corresponding M.2160 </w:t>
      </w:r>
      <w:bookmarkStart w:id="6" w:name="OLE_LINK7"/>
      <w:r>
        <w:rPr>
          <w:rFonts w:hint="eastAsia" w:eastAsiaTheme="minorEastAsia"/>
          <w:highlight w:val="none"/>
          <w:lang w:val="en-US" w:eastAsia="zh-CN"/>
        </w:rPr>
        <w:t>description</w:t>
      </w:r>
      <w:bookmarkEnd w:id="6"/>
      <w:r>
        <w:rPr>
          <w:rFonts w:hint="eastAsia" w:eastAsiaTheme="minorEastAsia"/>
          <w:highlight w:val="none"/>
        </w:rPr>
        <w:t>. whether to have such TPR items in the harmonized set should be after discussion on the corresponding deployment scenario/evaluation methodology.</w:t>
      </w:r>
    </w:p>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hint="eastAsia" w:eastAsiaTheme="minorEastAsia"/>
          <w:highlight w:val="none"/>
        </w:rPr>
      </w:pPr>
      <w:r>
        <w:rPr>
          <w:rFonts w:hint="eastAsia" w:eastAsiaTheme="minorEastAsia"/>
          <w:highlight w:val="none"/>
        </w:rPr>
        <w:t>Cat 4 TPR, though not explicit M.2410 capability terms, have corresponding M.2160 capability description and 5G-A evaluation methodology. Whether to have such TPR items in the harmonized set is more of a necessity check without difficult for potential convergence for new deployment scenarios/evaluation methodology.</w:t>
      </w:r>
    </w:p>
    <w:p>
      <w:pPr>
        <w:keepNext w:val="0"/>
        <w:keepLines w:val="0"/>
        <w:pageBreakBefore w:val="0"/>
        <w:widowControl/>
        <w:kinsoku/>
        <w:wordWrap/>
        <w:overflowPunct/>
        <w:topLinePunct w:val="0"/>
        <w:autoSpaceDE/>
        <w:autoSpaceDN/>
        <w:bidi w:val="0"/>
        <w:adjustRightInd/>
        <w:snapToGrid w:val="0"/>
        <w:spacing w:before="120" w:after="120" w:line="240" w:lineRule="auto"/>
        <w:jc w:val="center"/>
        <w:textAlignment w:val="auto"/>
        <w:rPr>
          <w:rFonts w:eastAsiaTheme="minorEastAsia"/>
        </w:rPr>
      </w:pPr>
      <w:r>
        <w:rPr>
          <w:rFonts w:eastAsiaTheme="minorEastAsia"/>
        </w:rPr>
        <mc:AlternateContent>
          <mc:Choice Requires="wpg">
            <w:drawing>
              <wp:inline distT="0" distB="0" distL="114300" distR="114300">
                <wp:extent cx="5867400" cy="3829685"/>
                <wp:effectExtent l="6350" t="0" r="0" b="18415"/>
                <wp:docPr id="14" name="组合 18"/>
                <wp:cNvGraphicFramePr/>
                <a:graphic xmlns:a="http://schemas.openxmlformats.org/drawingml/2006/main">
                  <a:graphicData uri="http://schemas.microsoft.com/office/word/2010/wordprocessingGroup">
                    <wpg:wgp>
                      <wpg:cNvGrpSpPr/>
                      <wpg:grpSpPr>
                        <a:xfrm>
                          <a:off x="0" y="0"/>
                          <a:ext cx="5867400" cy="3829685"/>
                          <a:chOff x="-19807" y="6926"/>
                          <a:chExt cx="98181" cy="64084"/>
                        </a:xfrm>
                      </wpg:grpSpPr>
                      <wps:wsp>
                        <wps:cNvPr id="1" name="圆角矩形 33"/>
                        <wps:cNvSpPr/>
                        <wps:spPr>
                          <a:xfrm>
                            <a:off x="-19807" y="20338"/>
                            <a:ext cx="40324" cy="15843"/>
                          </a:xfrm>
                          <a:prstGeom prst="roundRect">
                            <a:avLst>
                              <a:gd name="adj" fmla="val 16667"/>
                            </a:avLst>
                          </a:prstGeom>
                          <a:gradFill rotWithShape="1">
                            <a:gsLst>
                              <a:gs pos="0">
                                <a:srgbClr val="FFF200">
                                  <a:alpha val="100000"/>
                                </a:srgbClr>
                              </a:gs>
                              <a:gs pos="45000">
                                <a:srgbClr val="FF7A00">
                                  <a:alpha val="100000"/>
                                </a:srgbClr>
                              </a:gs>
                              <a:gs pos="70000">
                                <a:srgbClr val="FF0300">
                                  <a:alpha val="100000"/>
                                </a:srgbClr>
                              </a:gs>
                              <a:gs pos="100000">
                                <a:srgbClr val="4D0808">
                                  <a:alpha val="100000"/>
                                </a:srgbClr>
                              </a:gs>
                            </a:gsLst>
                            <a:lin ang="5400000"/>
                            <a:tileRect/>
                          </a:gradFill>
                          <a:ln w="12700" cap="flat" cmpd="sng">
                            <a:solidFill>
                              <a:srgbClr val="1F4D78"/>
                            </a:solidFill>
                            <a:prstDash val="solid"/>
                            <a:miter/>
                            <a:headEnd type="none" w="med" len="med"/>
                            <a:tailEnd type="none" w="med" len="med"/>
                          </a:ln>
                        </wps:spPr>
                        <wps:txbx>
                          <w:txbxContent>
                            <w:p>
                              <w:pPr>
                                <w:pStyle w:val="111"/>
                                <w:numPr>
                                  <w:ilvl w:val="0"/>
                                  <w:numId w:val="20"/>
                                </w:numPr>
                                <w:tabs>
                                  <w:tab w:val="left" w:pos="284"/>
                                  <w:tab w:val="left" w:pos="851"/>
                                  <w:tab w:val="left" w:pos="1418"/>
                                  <w:tab w:val="left" w:pos="1871"/>
                                  <w:tab w:val="left" w:pos="1985"/>
                                  <w:tab w:val="left" w:pos="2552"/>
                                  <w:tab w:val="left" w:pos="3119"/>
                                  <w:tab w:val="left" w:pos="3686"/>
                                </w:tabs>
                                <w:spacing w:after="0" w:line="256" w:lineRule="auto"/>
                                <w:ind w:firstLineChars="0"/>
                                <w:rPr>
                                  <w:szCs w:val="20"/>
                                </w:rPr>
                              </w:pPr>
                              <w:r>
                                <w:rPr>
                                  <w:rFonts w:hAnsi="Calibri" w:asciiTheme="minorHAnsi" w:eastAsiaTheme="minorEastAsia" w:cstheme="minorBidi"/>
                                  <w:b/>
                                  <w:bCs/>
                                  <w:color w:val="FFFFFF" w:themeColor="background1"/>
                                  <w:kern w:val="24"/>
                                  <w:szCs w:val="20"/>
                                  <w14:textFill>
                                    <w14:solidFill>
                                      <w14:schemeClr w14:val="bg1"/>
                                    </w14:solidFill>
                                  </w14:textFill>
                                </w:rPr>
                                <w:t>Bandwidth / Bandwidth Scalability</w:t>
                              </w:r>
                            </w:p>
                            <w:p>
                              <w:pPr>
                                <w:pStyle w:val="111"/>
                                <w:numPr>
                                  <w:ilvl w:val="0"/>
                                  <w:numId w:val="20"/>
                                </w:numPr>
                                <w:tabs>
                                  <w:tab w:val="left" w:pos="284"/>
                                  <w:tab w:val="left" w:pos="851"/>
                                  <w:tab w:val="left" w:pos="1418"/>
                                  <w:tab w:val="left" w:pos="1871"/>
                                  <w:tab w:val="left" w:pos="1985"/>
                                  <w:tab w:val="left" w:pos="2552"/>
                                  <w:tab w:val="left" w:pos="3119"/>
                                  <w:tab w:val="left" w:pos="3686"/>
                                </w:tabs>
                                <w:spacing w:after="0" w:line="256" w:lineRule="auto"/>
                                <w:ind w:firstLineChars="0"/>
                                <w:rPr>
                                  <w:szCs w:val="20"/>
                                </w:rPr>
                              </w:pPr>
                              <w:r>
                                <w:rPr>
                                  <w:rFonts w:hAnsi="Calibri" w:asciiTheme="minorHAnsi" w:eastAsiaTheme="minorEastAsia" w:cstheme="minorBidi"/>
                                  <w:b/>
                                  <w:bCs/>
                                  <w:color w:val="FFFFFF" w:themeColor="background1"/>
                                  <w:kern w:val="24"/>
                                  <w:szCs w:val="20"/>
                                  <w14:textFill>
                                    <w14:solidFill>
                                      <w14:schemeClr w14:val="bg1"/>
                                    </w14:solidFill>
                                  </w14:textFill>
                                </w:rPr>
                                <w:t xml:space="preserve">Mobility Interruption Time </w:t>
                              </w:r>
                            </w:p>
                          </w:txbxContent>
                        </wps:txbx>
                        <wps:bodyPr anchor="ctr" anchorCtr="0" upright="1"/>
                      </wps:wsp>
                      <wps:wsp>
                        <wps:cNvPr id="2" name="椭圆 4"/>
                        <wps:cNvSpPr/>
                        <wps:spPr>
                          <a:xfrm>
                            <a:off x="-16926" y="16014"/>
                            <a:ext cx="8539" cy="7918"/>
                          </a:xfrm>
                          <a:prstGeom prst="ellipse">
                            <a:avLst/>
                          </a:prstGeom>
                          <a:solidFill>
                            <a:srgbClr val="ED7D31"/>
                          </a:solidFill>
                          <a:ln w="12700" cap="flat" cmpd="sng">
                            <a:solidFill>
                              <a:srgbClr val="1F4D78"/>
                            </a:solidFill>
                            <a:prstDash val="solid"/>
                            <a:miter/>
                            <a:headEnd type="none" w="med" len="med"/>
                            <a:tailEnd type="none" w="med" len="med"/>
                          </a:ln>
                        </wps:spPr>
                        <wps:txbx>
                          <w:txbxContent>
                            <w:p>
                              <w:pPr>
                                <w:pStyle w:val="21"/>
                                <w:spacing w:before="0" w:beforeAutospacing="0" w:after="0" w:afterAutospacing="0"/>
                                <w:jc w:val="center"/>
                                <w:rPr>
                                  <w:sz w:val="32"/>
                                  <w:szCs w:val="32"/>
                                </w:rPr>
                              </w:pPr>
                              <w:r>
                                <w:rPr>
                                  <w:rFonts w:hAnsi="Calibri" w:asciiTheme="minorHAnsi" w:eastAsiaTheme="minorEastAsia" w:cstheme="minorBidi"/>
                                  <w:color w:val="FFFFFF" w:themeColor="light1"/>
                                  <w:kern w:val="24"/>
                                  <w:sz w:val="32"/>
                                  <w:szCs w:val="32"/>
                                  <w14:textFill>
                                    <w14:solidFill>
                                      <w14:schemeClr w14:val="lt1"/>
                                    </w14:solidFill>
                                  </w14:textFill>
                                </w:rPr>
                                <w:t>2</w:t>
                              </w:r>
                            </w:p>
                          </w:txbxContent>
                        </wps:txbx>
                        <wps:bodyPr anchor="ctr" anchorCtr="0" upright="1"/>
                      </wps:wsp>
                      <wps:wsp>
                        <wps:cNvPr id="3" name="圆角矩形 36"/>
                        <wps:cNvSpPr/>
                        <wps:spPr>
                          <a:xfrm>
                            <a:off x="23397" y="20338"/>
                            <a:ext cx="44645" cy="15843"/>
                          </a:xfrm>
                          <a:prstGeom prst="roundRect">
                            <a:avLst>
                              <a:gd name="adj" fmla="val 16667"/>
                            </a:avLst>
                          </a:prstGeom>
                          <a:gradFill rotWithShape="1">
                            <a:gsLst>
                              <a:gs pos="0">
                                <a:srgbClr val="9AC3F6">
                                  <a:alpha val="100000"/>
                                </a:srgbClr>
                              </a:gs>
                              <a:gs pos="50000">
                                <a:srgbClr val="C1D8F8">
                                  <a:alpha val="100000"/>
                                </a:srgbClr>
                              </a:gs>
                              <a:gs pos="100000">
                                <a:srgbClr val="E1ECFB">
                                  <a:alpha val="100000"/>
                                </a:srgbClr>
                              </a:gs>
                            </a:gsLst>
                            <a:lin ang="5400000" scaled="1"/>
                            <a:tileRect/>
                          </a:gradFill>
                          <a:ln w="12700" cap="flat" cmpd="sng">
                            <a:solidFill>
                              <a:srgbClr val="1F4D78"/>
                            </a:solidFill>
                            <a:prstDash val="solid"/>
                            <a:miter/>
                            <a:headEnd type="none" w="med" len="med"/>
                            <a:tailEnd type="none" w="med" len="med"/>
                          </a:ln>
                        </wps:spPr>
                        <wps:txbx>
                          <w:txbxContent>
                            <w:p>
                              <w:pPr>
                                <w:pStyle w:val="111"/>
                                <w:numPr>
                                  <w:ilvl w:val="0"/>
                                  <w:numId w:val="21"/>
                                </w:numPr>
                                <w:tabs>
                                  <w:tab w:val="left" w:pos="284"/>
                                  <w:tab w:val="left" w:pos="851"/>
                                  <w:tab w:val="left" w:pos="1418"/>
                                  <w:tab w:val="left" w:pos="1871"/>
                                  <w:tab w:val="left" w:pos="1985"/>
                                  <w:tab w:val="left" w:pos="2552"/>
                                  <w:tab w:val="left" w:pos="3119"/>
                                  <w:tab w:val="left" w:pos="3686"/>
                                </w:tabs>
                                <w:spacing w:after="0" w:line="257" w:lineRule="auto"/>
                                <w:ind w:left="641" w:hanging="357" w:firstLineChars="0"/>
                                <w:rPr>
                                  <w:sz w:val="16"/>
                                  <w:szCs w:val="15"/>
                                </w:rPr>
                              </w:pPr>
                              <w:r>
                                <w:rPr>
                                  <w:rFonts w:hAnsi="Calibri" w:asciiTheme="minorHAnsi" w:eastAsiaTheme="minorEastAsia" w:cstheme="minorBidi"/>
                                  <w:b/>
                                  <w:bCs/>
                                  <w:color w:val="000000" w:themeColor="text1"/>
                                  <w:kern w:val="24"/>
                                  <w:sz w:val="16"/>
                                  <w:szCs w:val="15"/>
                                  <w14:textFill>
                                    <w14:solidFill>
                                      <w14:schemeClr w14:val="tx1"/>
                                    </w14:solidFill>
                                  </w14:textFill>
                                </w:rPr>
                                <w:t>Capacity(eMBB - &gt; IC)</w:t>
                              </w:r>
                            </w:p>
                            <w:p>
                              <w:pPr>
                                <w:pStyle w:val="111"/>
                                <w:numPr>
                                  <w:ilvl w:val="0"/>
                                  <w:numId w:val="21"/>
                                </w:numPr>
                                <w:tabs>
                                  <w:tab w:val="left" w:pos="284"/>
                                  <w:tab w:val="left" w:pos="851"/>
                                  <w:tab w:val="left" w:pos="1418"/>
                                  <w:tab w:val="left" w:pos="1871"/>
                                  <w:tab w:val="left" w:pos="1985"/>
                                  <w:tab w:val="left" w:pos="2552"/>
                                  <w:tab w:val="left" w:pos="3119"/>
                                  <w:tab w:val="left" w:pos="3686"/>
                                </w:tabs>
                                <w:spacing w:after="0" w:line="257" w:lineRule="auto"/>
                                <w:ind w:left="641" w:hanging="357" w:firstLineChars="0"/>
                                <w:rPr>
                                  <w:sz w:val="16"/>
                                  <w:szCs w:val="15"/>
                                </w:rPr>
                              </w:pPr>
                              <w:r>
                                <w:rPr>
                                  <w:rFonts w:hAnsi="Calibri" w:asciiTheme="minorHAnsi" w:eastAsiaTheme="minorEastAsia" w:cstheme="minorBidi"/>
                                  <w:b/>
                                  <w:bCs/>
                                  <w:color w:val="000000" w:themeColor="text1"/>
                                  <w:kern w:val="24"/>
                                  <w:sz w:val="16"/>
                                  <w:szCs w:val="15"/>
                                  <w14:textFill>
                                    <w14:solidFill>
                                      <w14:schemeClr w14:val="tx1"/>
                                    </w14:solidFill>
                                  </w14:textFill>
                                </w:rPr>
                                <w:t>Connection Density (mMTC - &gt; MC)</w:t>
                              </w:r>
                            </w:p>
                            <w:p>
                              <w:pPr>
                                <w:pStyle w:val="111"/>
                                <w:numPr>
                                  <w:ilvl w:val="0"/>
                                  <w:numId w:val="21"/>
                                </w:numPr>
                                <w:tabs>
                                  <w:tab w:val="left" w:pos="284"/>
                                  <w:tab w:val="left" w:pos="851"/>
                                  <w:tab w:val="left" w:pos="1418"/>
                                  <w:tab w:val="left" w:pos="1871"/>
                                  <w:tab w:val="left" w:pos="1985"/>
                                  <w:tab w:val="left" w:pos="2552"/>
                                  <w:tab w:val="left" w:pos="3119"/>
                                  <w:tab w:val="left" w:pos="3686"/>
                                </w:tabs>
                                <w:spacing w:after="0" w:line="257" w:lineRule="auto"/>
                                <w:ind w:left="641" w:hanging="357" w:firstLineChars="0"/>
                                <w:rPr>
                                  <w:sz w:val="16"/>
                                  <w:szCs w:val="15"/>
                                </w:rPr>
                              </w:pPr>
                              <w:r>
                                <w:rPr>
                                  <w:rFonts w:hAnsi="Calibri" w:asciiTheme="minorHAnsi" w:eastAsiaTheme="minorEastAsia" w:cstheme="minorBidi"/>
                                  <w:b/>
                                  <w:bCs/>
                                  <w:color w:val="000000" w:themeColor="text1"/>
                                  <w:kern w:val="24"/>
                                  <w:sz w:val="16"/>
                                  <w:szCs w:val="15"/>
                                  <w14:textFill>
                                    <w14:solidFill>
                                      <w14:schemeClr w14:val="tx1"/>
                                    </w14:solidFill>
                                  </w14:textFill>
                                </w:rPr>
                                <w:t>SE in Mobility (eMBB -&gt; IC)</w:t>
                              </w:r>
                              <w:r>
                                <w:rPr>
                                  <w:rFonts w:eastAsia="Times New Roman"/>
                                  <w:b/>
                                  <w:bCs/>
                                  <w:color w:val="FFFFFF" w:themeColor="light1"/>
                                  <w:kern w:val="24"/>
                                  <w:sz w:val="16"/>
                                  <w:szCs w:val="15"/>
                                  <w14:textFill>
                                    <w14:solidFill>
                                      <w14:schemeClr w14:val="lt1"/>
                                    </w14:solidFill>
                                  </w14:textFill>
                                </w:rPr>
                                <w:t xml:space="preserve"> </w:t>
                              </w:r>
                            </w:p>
                            <w:p>
                              <w:pPr>
                                <w:pStyle w:val="111"/>
                                <w:numPr>
                                  <w:ilvl w:val="0"/>
                                  <w:numId w:val="21"/>
                                </w:numPr>
                                <w:tabs>
                                  <w:tab w:val="left" w:pos="284"/>
                                  <w:tab w:val="left" w:pos="851"/>
                                  <w:tab w:val="left" w:pos="1418"/>
                                  <w:tab w:val="left" w:pos="1871"/>
                                  <w:tab w:val="left" w:pos="1985"/>
                                  <w:tab w:val="left" w:pos="2552"/>
                                  <w:tab w:val="left" w:pos="3119"/>
                                  <w:tab w:val="left" w:pos="3686"/>
                                </w:tabs>
                                <w:spacing w:after="0" w:line="257" w:lineRule="auto"/>
                                <w:ind w:left="641" w:hanging="357" w:firstLineChars="0"/>
                                <w:rPr>
                                  <w:sz w:val="16"/>
                                  <w:szCs w:val="15"/>
                                </w:rPr>
                              </w:pPr>
                              <w:r>
                                <w:rPr>
                                  <w:rFonts w:hAnsi="Calibri" w:asciiTheme="minorHAnsi" w:eastAsiaTheme="minorEastAsia" w:cstheme="minorBidi"/>
                                  <w:b/>
                                  <w:bCs/>
                                  <w:color w:val="000000" w:themeColor="text1"/>
                                  <w:kern w:val="24"/>
                                  <w:sz w:val="16"/>
                                  <w:szCs w:val="15"/>
                                  <w14:textFill>
                                    <w14:solidFill>
                                      <w14:schemeClr w14:val="tx1"/>
                                    </w14:solidFill>
                                  </w14:textFill>
                                </w:rPr>
                                <w:t>Access and/or Transmission(uRLLC -&gt; hRLLC)</w:t>
                              </w:r>
                            </w:p>
                            <w:p>
                              <w:pPr>
                                <w:pStyle w:val="111"/>
                                <w:numPr>
                                  <w:ilvl w:val="0"/>
                                  <w:numId w:val="21"/>
                                </w:numPr>
                                <w:tabs>
                                  <w:tab w:val="left" w:pos="284"/>
                                  <w:tab w:val="left" w:pos="851"/>
                                  <w:tab w:val="left" w:pos="1418"/>
                                  <w:tab w:val="left" w:pos="1871"/>
                                  <w:tab w:val="left" w:pos="1985"/>
                                  <w:tab w:val="left" w:pos="2552"/>
                                  <w:tab w:val="left" w:pos="3119"/>
                                  <w:tab w:val="left" w:pos="3686"/>
                                </w:tabs>
                                <w:spacing w:after="0" w:line="257" w:lineRule="auto"/>
                                <w:ind w:left="641" w:hanging="357" w:firstLineChars="0"/>
                                <w:rPr>
                                  <w:sz w:val="16"/>
                                  <w:szCs w:val="15"/>
                                </w:rPr>
                              </w:pPr>
                              <w:r>
                                <w:rPr>
                                  <w:rFonts w:hAnsi="Calibri" w:asciiTheme="minorHAnsi" w:eastAsiaTheme="minorEastAsia" w:cstheme="minorBidi"/>
                                  <w:b/>
                                  <w:bCs/>
                                  <w:color w:val="000000" w:themeColor="text1"/>
                                  <w:kern w:val="24"/>
                                  <w:sz w:val="16"/>
                                  <w:szCs w:val="15"/>
                                  <w14:textFill>
                                    <w14:solidFill>
                                      <w14:schemeClr w14:val="tx1"/>
                                    </w14:solidFill>
                                  </w14:textFill>
                                </w:rPr>
                                <w:t>Energy Efficiency (Sustainability)</w:t>
                              </w:r>
                            </w:p>
                          </w:txbxContent>
                        </wps:txbx>
                        <wps:bodyPr anchor="ctr" anchorCtr="0" upright="1"/>
                      </wps:wsp>
                      <wps:wsp>
                        <wps:cNvPr id="4" name="椭圆 7"/>
                        <wps:cNvSpPr/>
                        <wps:spPr>
                          <a:xfrm>
                            <a:off x="60124" y="16016"/>
                            <a:ext cx="7918" cy="7919"/>
                          </a:xfrm>
                          <a:prstGeom prst="ellipse">
                            <a:avLst/>
                          </a:prstGeom>
                          <a:solidFill>
                            <a:srgbClr val="ED7D31"/>
                          </a:solidFill>
                          <a:ln w="12700" cap="flat" cmpd="sng">
                            <a:solidFill>
                              <a:srgbClr val="1F4D78"/>
                            </a:solidFill>
                            <a:prstDash val="solid"/>
                            <a:miter/>
                            <a:headEnd type="none" w="med" len="med"/>
                            <a:tailEnd type="none" w="med" len="med"/>
                          </a:ln>
                        </wps:spPr>
                        <wps:txbx>
                          <w:txbxContent>
                            <w:p>
                              <w:pPr>
                                <w:pStyle w:val="21"/>
                                <w:spacing w:before="0" w:beforeAutospacing="0" w:after="0" w:afterAutospacing="0"/>
                                <w:jc w:val="center"/>
                                <w:rPr>
                                  <w:sz w:val="32"/>
                                  <w:szCs w:val="32"/>
                                </w:rPr>
                              </w:pPr>
                              <w:r>
                                <w:rPr>
                                  <w:rFonts w:hAnsi="Calibri" w:asciiTheme="minorHAnsi" w:eastAsiaTheme="minorEastAsia" w:cstheme="minorBidi"/>
                                  <w:color w:val="FFFFFF" w:themeColor="light1"/>
                                  <w:kern w:val="24"/>
                                  <w:sz w:val="32"/>
                                  <w:szCs w:val="32"/>
                                  <w14:textFill>
                                    <w14:solidFill>
                                      <w14:schemeClr w14:val="lt1"/>
                                    </w14:solidFill>
                                  </w14:textFill>
                                </w:rPr>
                                <w:t>1</w:t>
                              </w:r>
                            </w:p>
                          </w:txbxContent>
                        </wps:txbx>
                        <wps:bodyPr anchor="ctr" anchorCtr="0" upright="1"/>
                      </wps:wsp>
                      <wps:wsp>
                        <wps:cNvPr id="5" name="直接箭头连接符 8"/>
                        <wps:cNvCnPr/>
                        <wps:spPr>
                          <a:xfrm rot="-5400000" flipV="1">
                            <a:off x="-10086" y="38969"/>
                            <a:ext cx="64085" cy="0"/>
                          </a:xfrm>
                          <a:prstGeom prst="straightConnector1">
                            <a:avLst/>
                          </a:prstGeom>
                          <a:ln w="19050" cap="flat" cmpd="sng">
                            <a:solidFill>
                              <a:srgbClr val="000000"/>
                            </a:solidFill>
                            <a:prstDash val="solid"/>
                            <a:miter/>
                            <a:headEnd type="none" w="med" len="med"/>
                            <a:tailEnd type="arrow" w="med" len="med"/>
                          </a:ln>
                        </wps:spPr>
                        <wps:bodyPr/>
                      </wps:wsp>
                      <wps:wsp>
                        <wps:cNvPr id="6" name="直接箭头连接符 9"/>
                        <wps:cNvCnPr/>
                        <wps:spPr>
                          <a:xfrm>
                            <a:off x="-19087" y="41216"/>
                            <a:ext cx="87129" cy="0"/>
                          </a:xfrm>
                          <a:prstGeom prst="straightConnector1">
                            <a:avLst/>
                          </a:prstGeom>
                          <a:ln w="19050" cap="flat" cmpd="sng">
                            <a:solidFill>
                              <a:srgbClr val="000000"/>
                            </a:solidFill>
                            <a:prstDash val="solid"/>
                            <a:miter/>
                            <a:headEnd type="none" w="med" len="med"/>
                            <a:tailEnd type="arrow" w="med" len="med"/>
                          </a:ln>
                        </wps:spPr>
                        <wps:bodyPr/>
                      </wps:wsp>
                      <wps:wsp>
                        <wps:cNvPr id="7" name="TextBox 10"/>
                        <wps:cNvSpPr txBox="1"/>
                        <wps:spPr>
                          <a:xfrm>
                            <a:off x="8398" y="8175"/>
                            <a:ext cx="37444" cy="5164"/>
                          </a:xfrm>
                          <a:prstGeom prst="rect">
                            <a:avLst/>
                          </a:prstGeom>
                          <a:noFill/>
                          <a:ln>
                            <a:noFill/>
                          </a:ln>
                        </wps:spPr>
                        <wps:txbx>
                          <w:txbxContent>
                            <w:p>
                              <w:pPr>
                                <w:pStyle w:val="21"/>
                                <w:spacing w:before="0" w:beforeAutospacing="0" w:after="0" w:afterAutospacing="0"/>
                              </w:pPr>
                              <w:r>
                                <w:rPr>
                                  <w:rFonts w:hAnsi="Calibri" w:asciiTheme="minorHAnsi" w:eastAsiaTheme="minorEastAsia" w:cstheme="minorBidi"/>
                                  <w:b/>
                                  <w:bCs/>
                                  <w:i/>
                                  <w:iCs/>
                                  <w:color w:val="000000" w:themeColor="text1"/>
                                  <w:kern w:val="24"/>
                                  <w:sz w:val="28"/>
                                  <w:szCs w:val="28"/>
                                  <w14:textFill>
                                    <w14:solidFill>
                                      <w14:schemeClr w14:val="tx1"/>
                                    </w14:solidFill>
                                  </w14:textFill>
                                </w:rPr>
                                <w:t>IMT-2020 TPR (M.2410)</w:t>
                              </w:r>
                            </w:p>
                          </w:txbxContent>
                        </wps:txbx>
                        <wps:bodyPr upright="1">
                          <a:spAutoFit/>
                        </wps:bodyPr>
                      </wps:wsp>
                      <wps:wsp>
                        <wps:cNvPr id="8" name="TextBox 9"/>
                        <wps:cNvSpPr txBox="1"/>
                        <wps:spPr>
                          <a:xfrm>
                            <a:off x="37794" y="41216"/>
                            <a:ext cx="40579" cy="4123"/>
                          </a:xfrm>
                          <a:prstGeom prst="rect">
                            <a:avLst/>
                          </a:prstGeom>
                          <a:noFill/>
                          <a:ln>
                            <a:noFill/>
                          </a:ln>
                        </wps:spPr>
                        <wps:txbx>
                          <w:txbxContent>
                            <w:p>
                              <w:pPr>
                                <w:pStyle w:val="21"/>
                                <w:spacing w:before="0" w:beforeAutospacing="0" w:after="0" w:afterAutospacing="0"/>
                                <w:rPr>
                                  <w:sz w:val="20"/>
                                  <w:szCs w:val="20"/>
                                </w:rPr>
                              </w:pPr>
                              <w:r>
                                <w:rPr>
                                  <w:rFonts w:hAnsi="Calibri" w:asciiTheme="minorHAnsi" w:eastAsiaTheme="minorEastAsia" w:cstheme="minorBidi"/>
                                  <w:b/>
                                  <w:bCs/>
                                  <w:i/>
                                  <w:iCs/>
                                  <w:color w:val="000000" w:themeColor="text1"/>
                                  <w:kern w:val="24"/>
                                  <w:sz w:val="20"/>
                                  <w:szCs w:val="20"/>
                                  <w14:textFill>
                                    <w14:solidFill>
                                      <w14:schemeClr w14:val="tx1"/>
                                    </w14:solidFill>
                                  </w14:textFill>
                                </w:rPr>
                                <w:t>IMT-2030 Capability &amp;5G Evaluation</w:t>
                              </w:r>
                            </w:p>
                          </w:txbxContent>
                        </wps:txbx>
                        <wps:bodyPr upright="1">
                          <a:spAutoFit/>
                        </wps:bodyPr>
                      </wps:wsp>
                      <wpg:grpSp>
                        <wpg:cNvPr id="11" name="组合 12"/>
                        <wpg:cNvGrpSpPr/>
                        <wpg:grpSpPr>
                          <a:xfrm>
                            <a:off x="-19087" y="44821"/>
                            <a:ext cx="38884" cy="19437"/>
                            <a:chOff x="-19087" y="44821"/>
                            <a:chExt cx="57" cy="30"/>
                          </a:xfrm>
                        </wpg:grpSpPr>
                        <wps:wsp>
                          <wps:cNvPr id="9" name="圆角矩形 45"/>
                          <wps:cNvSpPr/>
                          <wps:spPr>
                            <a:xfrm>
                              <a:off x="-19087" y="44826"/>
                              <a:ext cx="58" cy="25"/>
                            </a:xfrm>
                            <a:prstGeom prst="roundRect">
                              <a:avLst>
                                <a:gd name="adj" fmla="val 16667"/>
                              </a:avLst>
                            </a:prstGeom>
                            <a:gradFill rotWithShape="1">
                              <a:gsLst>
                                <a:gs pos="0">
                                  <a:srgbClr val="E6DCAC">
                                    <a:alpha val="100000"/>
                                  </a:srgbClr>
                                </a:gs>
                                <a:gs pos="12000">
                                  <a:srgbClr val="E6D78A">
                                    <a:alpha val="100000"/>
                                  </a:srgbClr>
                                </a:gs>
                                <a:gs pos="30000">
                                  <a:srgbClr val="C7AC4C">
                                    <a:alpha val="100000"/>
                                  </a:srgbClr>
                                </a:gs>
                                <a:gs pos="45000">
                                  <a:srgbClr val="E6D78A">
                                    <a:alpha val="100000"/>
                                  </a:srgbClr>
                                </a:gs>
                                <a:gs pos="77000">
                                  <a:srgbClr val="C7AC4C">
                                    <a:alpha val="100000"/>
                                  </a:srgbClr>
                                </a:gs>
                                <a:gs pos="100000">
                                  <a:srgbClr val="E6DCAC">
                                    <a:alpha val="100000"/>
                                  </a:srgbClr>
                                </a:gs>
                              </a:gsLst>
                              <a:lin ang="5400000"/>
                              <a:tileRect/>
                            </a:gradFill>
                            <a:ln w="12700" cap="flat" cmpd="sng">
                              <a:solidFill>
                                <a:srgbClr val="1F4D78"/>
                              </a:solidFill>
                              <a:prstDash val="solid"/>
                              <a:miter/>
                              <a:headEnd type="none" w="med" len="med"/>
                              <a:tailEnd type="none" w="med" len="med"/>
                            </a:ln>
                          </wps:spPr>
                          <wps:txbx>
                            <w:txbxContent>
                              <w:p>
                                <w:pPr>
                                  <w:pStyle w:val="111"/>
                                  <w:numPr>
                                    <w:ilvl w:val="0"/>
                                    <w:numId w:val="22"/>
                                  </w:numPr>
                                  <w:tabs>
                                    <w:tab w:val="left" w:pos="284"/>
                                    <w:tab w:val="left" w:pos="851"/>
                                    <w:tab w:val="left" w:pos="1418"/>
                                    <w:tab w:val="left" w:pos="1871"/>
                                    <w:tab w:val="left" w:pos="1985"/>
                                    <w:tab w:val="left" w:pos="2552"/>
                                    <w:tab w:val="left" w:pos="3119"/>
                                    <w:tab w:val="left" w:pos="3686"/>
                                  </w:tabs>
                                  <w:spacing w:after="0" w:line="256" w:lineRule="auto"/>
                                  <w:ind w:firstLineChars="0"/>
                                  <w:rPr>
                                    <w:sz w:val="17"/>
                                    <w:szCs w:val="17"/>
                                  </w:rPr>
                                </w:pPr>
                                <w:r>
                                  <w:rPr>
                                    <w:rFonts w:eastAsia="Gulim"/>
                                    <w:b/>
                                    <w:bCs/>
                                    <w:color w:val="0070C0"/>
                                    <w:kern w:val="24"/>
                                    <w:sz w:val="17"/>
                                    <w:szCs w:val="17"/>
                                    <w14:shadow w14:blurRad="50800" w14:dist="38100" w14:dir="2700000" w14:sx="100000" w14:sy="100000" w14:kx="0" w14:ky="0" w14:algn="tl">
                                      <w14:srgbClr w14:val="000000">
                                        <w14:alpha w14:val="60000"/>
                                      </w14:srgbClr>
                                    </w14:shadow>
                                  </w:rPr>
                                  <w:t>Sensing-related capabilities</w:t>
                                </w:r>
                              </w:p>
                              <w:p>
                                <w:pPr>
                                  <w:pStyle w:val="111"/>
                                  <w:numPr>
                                    <w:ilvl w:val="0"/>
                                    <w:numId w:val="22"/>
                                  </w:numPr>
                                  <w:tabs>
                                    <w:tab w:val="left" w:pos="284"/>
                                    <w:tab w:val="left" w:pos="851"/>
                                    <w:tab w:val="left" w:pos="1418"/>
                                    <w:tab w:val="left" w:pos="1871"/>
                                    <w:tab w:val="left" w:pos="1985"/>
                                    <w:tab w:val="left" w:pos="2552"/>
                                    <w:tab w:val="left" w:pos="3119"/>
                                    <w:tab w:val="left" w:pos="3686"/>
                                  </w:tabs>
                                  <w:spacing w:after="0" w:line="256" w:lineRule="auto"/>
                                  <w:ind w:firstLineChars="0"/>
                                  <w:rPr>
                                    <w:sz w:val="17"/>
                                    <w:szCs w:val="17"/>
                                  </w:rPr>
                                </w:pPr>
                                <w:r>
                                  <w:rPr>
                                    <w:rFonts w:eastAsia="Times New Roman"/>
                                    <w:b/>
                                    <w:bCs/>
                                    <w:color w:val="0070C0"/>
                                    <w:kern w:val="24"/>
                                    <w:sz w:val="17"/>
                                    <w:szCs w:val="17"/>
                                    <w14:shadow w14:blurRad="50800" w14:dist="38100" w14:dir="2700000" w14:sx="100000" w14:sy="100000" w14:kx="0" w14:ky="0" w14:algn="tl">
                                      <w14:srgbClr w14:val="000000">
                                        <w14:alpha w14:val="60000"/>
                                      </w14:srgbClr>
                                    </w14:shadow>
                                  </w:rPr>
                                  <w:t>Applicable AI-related capabilities</w:t>
                                </w:r>
                              </w:p>
                              <w:p>
                                <w:pPr>
                                  <w:pStyle w:val="111"/>
                                  <w:numPr>
                                    <w:ilvl w:val="0"/>
                                    <w:numId w:val="22"/>
                                  </w:numPr>
                                  <w:tabs>
                                    <w:tab w:val="left" w:pos="284"/>
                                    <w:tab w:val="left" w:pos="851"/>
                                    <w:tab w:val="left" w:pos="1418"/>
                                    <w:tab w:val="left" w:pos="1871"/>
                                    <w:tab w:val="left" w:pos="1985"/>
                                    <w:tab w:val="left" w:pos="2552"/>
                                    <w:tab w:val="left" w:pos="3119"/>
                                    <w:tab w:val="left" w:pos="3686"/>
                                  </w:tabs>
                                  <w:spacing w:after="0" w:line="256" w:lineRule="auto"/>
                                  <w:ind w:firstLineChars="0"/>
                                  <w:rPr>
                                    <w:sz w:val="17"/>
                                    <w:szCs w:val="17"/>
                                  </w:rPr>
                                </w:pPr>
                                <w:r>
                                  <w:rPr>
                                    <w:rFonts w:eastAsia="Times New Roman"/>
                                    <w:b/>
                                    <w:bCs/>
                                    <w:color w:val="0070C0"/>
                                    <w:kern w:val="24"/>
                                    <w:sz w:val="17"/>
                                    <w:szCs w:val="17"/>
                                    <w14:shadow w14:blurRad="50800" w14:dist="38100" w14:dir="2700000" w14:sx="100000" w14:sy="100000" w14:kx="0" w14:ky="0" w14:algn="tl">
                                      <w14:srgbClr w14:val="000000">
                                        <w14:alpha w14:val="60000"/>
                                      </w14:srgbClr>
                                    </w14:shadow>
                                  </w:rPr>
                                  <w:t>Interoperability</w:t>
                                </w:r>
                              </w:p>
                              <w:p>
                                <w:pPr>
                                  <w:pStyle w:val="111"/>
                                  <w:numPr>
                                    <w:ilvl w:val="0"/>
                                    <w:numId w:val="22"/>
                                  </w:numPr>
                                  <w:tabs>
                                    <w:tab w:val="left" w:pos="284"/>
                                    <w:tab w:val="left" w:pos="851"/>
                                    <w:tab w:val="left" w:pos="1418"/>
                                    <w:tab w:val="left" w:pos="1871"/>
                                    <w:tab w:val="left" w:pos="1985"/>
                                    <w:tab w:val="left" w:pos="2552"/>
                                    <w:tab w:val="left" w:pos="3119"/>
                                    <w:tab w:val="left" w:pos="3686"/>
                                  </w:tabs>
                                  <w:spacing w:after="0" w:line="256" w:lineRule="auto"/>
                                  <w:ind w:firstLineChars="0"/>
                                  <w:rPr>
                                    <w:sz w:val="17"/>
                                    <w:szCs w:val="17"/>
                                  </w:rPr>
                                </w:pPr>
                                <w:r>
                                  <w:rPr>
                                    <w:rFonts w:eastAsia="Times New Roman"/>
                                    <w:b/>
                                    <w:bCs/>
                                    <w:color w:val="0070C0"/>
                                    <w:kern w:val="24"/>
                                    <w:sz w:val="17"/>
                                    <w:szCs w:val="17"/>
                                    <w14:shadow w14:blurRad="50800" w14:dist="38100" w14:dir="2700000" w14:sx="100000" w14:sy="100000" w14:kx="0" w14:ky="0" w14:algn="tl">
                                      <w14:srgbClr w14:val="000000">
                                        <w14:alpha w14:val="60000"/>
                                      </w14:srgbClr>
                                    </w14:shadow>
                                  </w:rPr>
                                  <w:t>Security and Resilience</w:t>
                                </w:r>
                              </w:p>
                            </w:txbxContent>
                          </wps:txbx>
                          <wps:bodyPr anchor="ctr" anchorCtr="0" upright="1"/>
                        </wps:wsp>
                        <wps:wsp>
                          <wps:cNvPr id="10" name="椭圆 16"/>
                          <wps:cNvSpPr/>
                          <wps:spPr>
                            <a:xfrm>
                              <a:off x="-19083" y="44821"/>
                              <a:ext cx="12" cy="12"/>
                            </a:xfrm>
                            <a:prstGeom prst="ellipse">
                              <a:avLst/>
                            </a:prstGeom>
                            <a:solidFill>
                              <a:srgbClr val="ED7D31"/>
                            </a:solidFill>
                            <a:ln w="12700" cap="flat" cmpd="sng">
                              <a:solidFill>
                                <a:srgbClr val="1F4D78"/>
                              </a:solidFill>
                              <a:prstDash val="solid"/>
                              <a:miter/>
                              <a:headEnd type="none" w="med" len="med"/>
                              <a:tailEnd type="none" w="med" len="med"/>
                            </a:ln>
                          </wps:spPr>
                          <wps:txbx>
                            <w:txbxContent>
                              <w:p>
                                <w:pPr>
                                  <w:pStyle w:val="21"/>
                                  <w:spacing w:before="0" w:beforeAutospacing="0" w:after="0" w:afterAutospacing="0"/>
                                  <w:jc w:val="center"/>
                                  <w:rPr>
                                    <w:sz w:val="32"/>
                                    <w:szCs w:val="32"/>
                                  </w:rPr>
                                </w:pPr>
                                <w:r>
                                  <w:rPr>
                                    <w:rFonts w:hAnsi="Calibri" w:asciiTheme="minorHAnsi" w:eastAsiaTheme="minorEastAsia" w:cstheme="minorBidi"/>
                                    <w:color w:val="FFFFFF" w:themeColor="light1"/>
                                    <w:kern w:val="24"/>
                                    <w:sz w:val="32"/>
                                    <w:szCs w:val="32"/>
                                    <w14:textFill>
                                      <w14:solidFill>
                                        <w14:schemeClr w14:val="lt1"/>
                                      </w14:solidFill>
                                    </w14:textFill>
                                  </w:rPr>
                                  <w:t>3</w:t>
                                </w:r>
                              </w:p>
                            </w:txbxContent>
                          </wps:txbx>
                          <wps:bodyPr anchor="ctr" anchorCtr="0" upright="1"/>
                        </wps:wsp>
                      </wpg:grpSp>
                      <wps:wsp>
                        <wps:cNvPr id="12" name="圆角矩形 49"/>
                        <wps:cNvSpPr/>
                        <wps:spPr>
                          <a:xfrm>
                            <a:off x="23397" y="48416"/>
                            <a:ext cx="43205" cy="15843"/>
                          </a:xfrm>
                          <a:prstGeom prst="roundRect">
                            <a:avLst>
                              <a:gd name="adj" fmla="val 16667"/>
                            </a:avLst>
                          </a:prstGeom>
                          <a:gradFill rotWithShape="1">
                            <a:gsLst>
                              <a:gs pos="0">
                                <a:srgbClr val="5E9EFF">
                                  <a:alpha val="100000"/>
                                </a:srgbClr>
                              </a:gs>
                              <a:gs pos="39999">
                                <a:srgbClr val="85C2FF">
                                  <a:alpha val="100000"/>
                                </a:srgbClr>
                              </a:gs>
                              <a:gs pos="70000">
                                <a:srgbClr val="C4D6EB">
                                  <a:alpha val="100000"/>
                                </a:srgbClr>
                              </a:gs>
                              <a:gs pos="100000">
                                <a:srgbClr val="FFEBFA">
                                  <a:alpha val="100000"/>
                                </a:srgbClr>
                              </a:gs>
                            </a:gsLst>
                            <a:lin ang="5400000"/>
                            <a:tileRect/>
                          </a:gradFill>
                          <a:ln w="12700" cap="flat" cmpd="sng">
                            <a:solidFill>
                              <a:srgbClr val="1F4D78"/>
                            </a:solidFill>
                            <a:prstDash val="solid"/>
                            <a:miter/>
                            <a:headEnd type="none" w="med" len="med"/>
                            <a:tailEnd type="none" w="med" len="med"/>
                          </a:ln>
                        </wps:spPr>
                        <wps:txbx>
                          <w:txbxContent>
                            <w:p>
                              <w:pPr>
                                <w:pStyle w:val="111"/>
                                <w:numPr>
                                  <w:ilvl w:val="0"/>
                                  <w:numId w:val="23"/>
                                </w:numPr>
                                <w:tabs>
                                  <w:tab w:val="left" w:pos="284"/>
                                  <w:tab w:val="left" w:pos="851"/>
                                  <w:tab w:val="left" w:pos="1418"/>
                                  <w:tab w:val="left" w:pos="1871"/>
                                  <w:tab w:val="left" w:pos="1985"/>
                                  <w:tab w:val="left" w:pos="2552"/>
                                  <w:tab w:val="left" w:pos="3119"/>
                                  <w:tab w:val="left" w:pos="3686"/>
                                </w:tabs>
                                <w:spacing w:after="0" w:line="256" w:lineRule="auto"/>
                                <w:ind w:firstLineChars="0"/>
                                <w:rPr>
                                  <w:szCs w:val="20"/>
                                </w:rPr>
                              </w:pPr>
                              <w:r>
                                <w:rPr>
                                  <w:rFonts w:hAnsi="Calibri" w:asciiTheme="minorHAnsi" w:eastAsiaTheme="minorEastAsia" w:cstheme="minorBidi"/>
                                  <w:b/>
                                  <w:bCs/>
                                  <w:color w:val="C55A11" w:themeColor="accent2" w:themeShade="BF"/>
                                  <w:kern w:val="24"/>
                                  <w:szCs w:val="20"/>
                                </w:rPr>
                                <w:t>Coverage</w:t>
                              </w:r>
                            </w:p>
                            <w:p>
                              <w:pPr>
                                <w:pStyle w:val="111"/>
                                <w:numPr>
                                  <w:ilvl w:val="0"/>
                                  <w:numId w:val="23"/>
                                </w:numPr>
                                <w:tabs>
                                  <w:tab w:val="left" w:pos="284"/>
                                  <w:tab w:val="left" w:pos="851"/>
                                  <w:tab w:val="left" w:pos="1418"/>
                                  <w:tab w:val="left" w:pos="1871"/>
                                  <w:tab w:val="left" w:pos="1985"/>
                                  <w:tab w:val="left" w:pos="2552"/>
                                  <w:tab w:val="left" w:pos="3119"/>
                                  <w:tab w:val="left" w:pos="3686"/>
                                </w:tabs>
                                <w:spacing w:after="0" w:line="256" w:lineRule="auto"/>
                                <w:ind w:firstLineChars="0"/>
                                <w:rPr>
                                  <w:szCs w:val="20"/>
                                </w:rPr>
                              </w:pPr>
                              <w:r>
                                <w:rPr>
                                  <w:rFonts w:hAnsi="Calibri" w:asciiTheme="minorHAnsi" w:eastAsiaTheme="minorEastAsia" w:cstheme="minorBidi"/>
                                  <w:b/>
                                  <w:bCs/>
                                  <w:color w:val="C55A11" w:themeColor="accent2" w:themeShade="BF"/>
                                  <w:kern w:val="24"/>
                                  <w:szCs w:val="20"/>
                                </w:rPr>
                                <w:t>Positioning</w:t>
                              </w:r>
                            </w:p>
                            <w:p>
                              <w:pPr>
                                <w:pStyle w:val="111"/>
                                <w:numPr>
                                  <w:ilvl w:val="0"/>
                                  <w:numId w:val="23"/>
                                </w:numPr>
                                <w:tabs>
                                  <w:tab w:val="left" w:pos="284"/>
                                  <w:tab w:val="left" w:pos="851"/>
                                  <w:tab w:val="left" w:pos="1418"/>
                                  <w:tab w:val="left" w:pos="1871"/>
                                  <w:tab w:val="left" w:pos="1985"/>
                                  <w:tab w:val="left" w:pos="2552"/>
                                  <w:tab w:val="left" w:pos="3119"/>
                                  <w:tab w:val="left" w:pos="3686"/>
                                </w:tabs>
                                <w:spacing w:after="0" w:line="256" w:lineRule="auto"/>
                                <w:ind w:firstLineChars="0"/>
                                <w:rPr>
                                  <w:szCs w:val="20"/>
                                </w:rPr>
                              </w:pPr>
                              <w:r>
                                <w:rPr>
                                  <w:rFonts w:hAnsi="Calibri" w:asciiTheme="minorHAnsi" w:eastAsiaTheme="minorEastAsia" w:cstheme="minorBidi"/>
                                  <w:b/>
                                  <w:bCs/>
                                  <w:color w:val="C55A11" w:themeColor="accent2" w:themeShade="BF"/>
                                  <w:kern w:val="24"/>
                                  <w:szCs w:val="20"/>
                                </w:rPr>
                                <w:t>Sustainability (PSG, ESG)</w:t>
                              </w:r>
                            </w:p>
                          </w:txbxContent>
                        </wps:txbx>
                        <wps:bodyPr anchor="ctr" anchorCtr="0" upright="1"/>
                      </wps:wsp>
                      <wps:wsp>
                        <wps:cNvPr id="13" name="椭圆 14"/>
                        <wps:cNvSpPr/>
                        <wps:spPr>
                          <a:xfrm>
                            <a:off x="57961" y="45537"/>
                            <a:ext cx="7918" cy="7918"/>
                          </a:xfrm>
                          <a:prstGeom prst="ellipse">
                            <a:avLst/>
                          </a:prstGeom>
                          <a:solidFill>
                            <a:srgbClr val="ED7D31"/>
                          </a:solidFill>
                          <a:ln w="12700" cap="flat" cmpd="sng">
                            <a:solidFill>
                              <a:srgbClr val="1F4D78"/>
                            </a:solidFill>
                            <a:prstDash val="solid"/>
                            <a:miter/>
                            <a:headEnd type="none" w="med" len="med"/>
                            <a:tailEnd type="none" w="med" len="med"/>
                          </a:ln>
                        </wps:spPr>
                        <wps:txbx>
                          <w:txbxContent>
                            <w:p>
                              <w:pPr>
                                <w:pStyle w:val="21"/>
                                <w:spacing w:before="0" w:beforeAutospacing="0" w:after="0" w:afterAutospacing="0"/>
                                <w:jc w:val="center"/>
                                <w:rPr>
                                  <w:sz w:val="32"/>
                                  <w:szCs w:val="32"/>
                                </w:rPr>
                              </w:pPr>
                              <w:r>
                                <w:rPr>
                                  <w:rFonts w:hAnsi="Calibri" w:asciiTheme="minorHAnsi" w:eastAsiaTheme="minorEastAsia" w:cstheme="minorBidi"/>
                                  <w:color w:val="FFFFFF" w:themeColor="light1"/>
                                  <w:kern w:val="24"/>
                                  <w:sz w:val="32"/>
                                  <w:szCs w:val="32"/>
                                  <w14:textFill>
                                    <w14:solidFill>
                                      <w14:schemeClr w14:val="lt1"/>
                                    </w14:solidFill>
                                  </w14:textFill>
                                </w:rPr>
                                <w:t>4</w:t>
                              </w:r>
                            </w:p>
                          </w:txbxContent>
                        </wps:txbx>
                        <wps:bodyPr anchor="ctr" anchorCtr="0" upright="1"/>
                      </wps:wsp>
                    </wpg:wgp>
                  </a:graphicData>
                </a:graphic>
              </wp:inline>
            </w:drawing>
          </mc:Choice>
          <mc:Fallback>
            <w:pict>
              <v:group id="组合 18" o:spid="_x0000_s1026" o:spt="203" style="height:301.55pt;width:462pt;" coordorigin="-19807,6926" coordsize="98181,64084" o:gfxdata="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">
                <o:lock v:ext="edit" aspectratio="f"/>
                <v:roundrect id="圆角矩形 33" o:spid="_x0000_s1026" o:spt="2" style="position:absolute;left:-19807;top:20338;height:15843;width:40324;v-text-anchor:middle;" fillcolor="#FFF200" filled="t" stroked="t" coordsize="21600,21600" arcsize="0.166666666666667" o:gfxdata="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D4fobugAAANoA&#10;AAAPAAAAAAAAAAEAIAAAACIAAABkcnMvZG93bnJldi54bWxQSwECFAAUAAAACACHTuJAMy8FnjsA&#10;AAA5AAAAEAAAAAAAAAABACAAAAAJAQAAZHJzL3NoYXBleG1sLnhtbFBLBQYAAAAABgAGAFsBAACz&#10;AwAAAAA=&#10;">
                  <v:fill type="gradient" on="t" color2="#4D0808" colors="0f #FFF200;29491f #FF7A00;45875f #FF0300;65536f #4D0808" focus="100%" focussize="0,0" rotate="t">
                    <o:fill type="gradientUnscaled" v:ext="backwardCompatible"/>
                  </v:fill>
                  <v:stroke weight="1pt" color="#1F4D78" joinstyle="miter"/>
                  <v:imagedata o:title=""/>
                  <o:lock v:ext="edit" aspectratio="f"/>
                  <v:textbox>
                    <w:txbxContent>
                      <w:p>
                        <w:pPr>
                          <w:pStyle w:val="111"/>
                          <w:numPr>
                            <w:ilvl w:val="0"/>
                            <w:numId w:val="20"/>
                          </w:numPr>
                          <w:tabs>
                            <w:tab w:val="left" w:pos="284"/>
                            <w:tab w:val="left" w:pos="851"/>
                            <w:tab w:val="left" w:pos="1418"/>
                            <w:tab w:val="left" w:pos="1871"/>
                            <w:tab w:val="left" w:pos="1985"/>
                            <w:tab w:val="left" w:pos="2552"/>
                            <w:tab w:val="left" w:pos="3119"/>
                            <w:tab w:val="left" w:pos="3686"/>
                          </w:tabs>
                          <w:spacing w:after="0" w:line="256" w:lineRule="auto"/>
                          <w:ind w:firstLineChars="0"/>
                          <w:rPr>
                            <w:szCs w:val="20"/>
                          </w:rPr>
                        </w:pPr>
                        <w:r>
                          <w:rPr>
                            <w:rFonts w:hAnsi="Calibri" w:asciiTheme="minorHAnsi" w:eastAsiaTheme="minorEastAsia" w:cstheme="minorBidi"/>
                            <w:b/>
                            <w:bCs/>
                            <w:color w:val="FFFFFF" w:themeColor="background1"/>
                            <w:kern w:val="24"/>
                            <w:szCs w:val="20"/>
                            <w14:textFill>
                              <w14:solidFill>
                                <w14:schemeClr w14:val="bg1"/>
                              </w14:solidFill>
                            </w14:textFill>
                          </w:rPr>
                          <w:t>Bandwidth / Bandwidth Scalability</w:t>
                        </w:r>
                      </w:p>
                      <w:p>
                        <w:pPr>
                          <w:pStyle w:val="111"/>
                          <w:numPr>
                            <w:ilvl w:val="0"/>
                            <w:numId w:val="20"/>
                          </w:numPr>
                          <w:tabs>
                            <w:tab w:val="left" w:pos="284"/>
                            <w:tab w:val="left" w:pos="851"/>
                            <w:tab w:val="left" w:pos="1418"/>
                            <w:tab w:val="left" w:pos="1871"/>
                            <w:tab w:val="left" w:pos="1985"/>
                            <w:tab w:val="left" w:pos="2552"/>
                            <w:tab w:val="left" w:pos="3119"/>
                            <w:tab w:val="left" w:pos="3686"/>
                          </w:tabs>
                          <w:spacing w:after="0" w:line="256" w:lineRule="auto"/>
                          <w:ind w:firstLineChars="0"/>
                          <w:rPr>
                            <w:szCs w:val="20"/>
                          </w:rPr>
                        </w:pPr>
                        <w:r>
                          <w:rPr>
                            <w:rFonts w:hAnsi="Calibri" w:asciiTheme="minorHAnsi" w:eastAsiaTheme="minorEastAsia" w:cstheme="minorBidi"/>
                            <w:b/>
                            <w:bCs/>
                            <w:color w:val="FFFFFF" w:themeColor="background1"/>
                            <w:kern w:val="24"/>
                            <w:szCs w:val="20"/>
                            <w14:textFill>
                              <w14:solidFill>
                                <w14:schemeClr w14:val="bg1"/>
                              </w14:solidFill>
                            </w14:textFill>
                          </w:rPr>
                          <w:t xml:space="preserve">Mobility Interruption Time </w:t>
                        </w:r>
                      </w:p>
                    </w:txbxContent>
                  </v:textbox>
                </v:roundrect>
                <v:shape id="椭圆 4" o:spid="_x0000_s1026" o:spt="3" type="#_x0000_t3" style="position:absolute;left:-16926;top:16014;height:7918;width:8539;v-text-anchor:middle;" fillcolor="#ED7D31" filled="t" stroked="t" coordsize="21600,21600" o:gfxdata="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7BGJr4A&#10;AADaAAAADwAAAAAAAAABACAAAAAiAAAAZHJzL2Rvd25yZXYueG1sUEsBAhQAFAAAAAgAh07iQDMv&#10;BZ47AAAAOQAAABAAAAAAAAAAAQAgAAAADQEAAGRycy9zaGFwZXhtbC54bWxQSwUGAAAAAAYABgBb&#10;AQAAtwMAAAAA&#10;">
                  <v:fill on="t" focussize="0,0"/>
                  <v:stroke weight="1pt" color="#1F4D78" joinstyle="miter"/>
                  <v:imagedata o:title=""/>
                  <o:lock v:ext="edit" aspectratio="f"/>
                  <v:textbox>
                    <w:txbxContent>
                      <w:p>
                        <w:pPr>
                          <w:pStyle w:val="21"/>
                          <w:spacing w:before="0" w:beforeAutospacing="0" w:after="0" w:afterAutospacing="0"/>
                          <w:jc w:val="center"/>
                          <w:rPr>
                            <w:sz w:val="32"/>
                            <w:szCs w:val="32"/>
                          </w:rPr>
                        </w:pPr>
                        <w:r>
                          <w:rPr>
                            <w:rFonts w:hAnsi="Calibri" w:asciiTheme="minorHAnsi" w:eastAsiaTheme="minorEastAsia" w:cstheme="minorBidi"/>
                            <w:color w:val="FFFFFF" w:themeColor="light1"/>
                            <w:kern w:val="24"/>
                            <w:sz w:val="32"/>
                            <w:szCs w:val="32"/>
                            <w14:textFill>
                              <w14:solidFill>
                                <w14:schemeClr w14:val="lt1"/>
                              </w14:solidFill>
                            </w14:textFill>
                          </w:rPr>
                          <w:t>2</w:t>
                        </w:r>
                      </w:p>
                    </w:txbxContent>
                  </v:textbox>
                </v:shape>
                <v:roundrect id="圆角矩形 36" o:spid="_x0000_s1026" o:spt="2" style="position:absolute;left:23397;top:20338;height:15843;width:44645;v-text-anchor:middle;" fillcolor="#9AC3F6" filled="t" stroked="t" coordsize="21600,21600" arcsize="0.166666666666667" o:gfxdata="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I1/Q74A&#10;AADaAAAADwAAAAAAAAABACAAAAAiAAAAZHJzL2Rvd25yZXYueG1sUEsBAhQAFAAAAAgAh07iQDMv&#10;BZ47AAAAOQAAABAAAAAAAAAAAQAgAAAADQEAAGRycy9zaGFwZXhtbC54bWxQSwUGAAAAAAYABgBb&#10;AQAAtwMAAAAA&#10;">
                  <v:fill type="gradient" on="t" color2="#E1ECFB" colors="0f #9AC3F6;32768f #C1D8F8;65536f #E1ECFB" focus="100%" focussize="0,0" rotate="t"/>
                  <v:stroke weight="1pt" color="#1F4D78" joinstyle="miter"/>
                  <v:imagedata o:title=""/>
                  <o:lock v:ext="edit" aspectratio="f"/>
                  <v:textbox>
                    <w:txbxContent>
                      <w:p>
                        <w:pPr>
                          <w:pStyle w:val="111"/>
                          <w:numPr>
                            <w:ilvl w:val="0"/>
                            <w:numId w:val="21"/>
                          </w:numPr>
                          <w:tabs>
                            <w:tab w:val="left" w:pos="284"/>
                            <w:tab w:val="left" w:pos="851"/>
                            <w:tab w:val="left" w:pos="1418"/>
                            <w:tab w:val="left" w:pos="1871"/>
                            <w:tab w:val="left" w:pos="1985"/>
                            <w:tab w:val="left" w:pos="2552"/>
                            <w:tab w:val="left" w:pos="3119"/>
                            <w:tab w:val="left" w:pos="3686"/>
                          </w:tabs>
                          <w:spacing w:after="0" w:line="257" w:lineRule="auto"/>
                          <w:ind w:left="641" w:hanging="357" w:firstLineChars="0"/>
                          <w:rPr>
                            <w:sz w:val="16"/>
                            <w:szCs w:val="15"/>
                          </w:rPr>
                        </w:pPr>
                        <w:r>
                          <w:rPr>
                            <w:rFonts w:hAnsi="Calibri" w:asciiTheme="minorHAnsi" w:eastAsiaTheme="minorEastAsia" w:cstheme="minorBidi"/>
                            <w:b/>
                            <w:bCs/>
                            <w:color w:val="000000" w:themeColor="text1"/>
                            <w:kern w:val="24"/>
                            <w:sz w:val="16"/>
                            <w:szCs w:val="15"/>
                            <w14:textFill>
                              <w14:solidFill>
                                <w14:schemeClr w14:val="tx1"/>
                              </w14:solidFill>
                            </w14:textFill>
                          </w:rPr>
                          <w:t>Capacity(eMBB - &gt; IC)</w:t>
                        </w:r>
                      </w:p>
                      <w:p>
                        <w:pPr>
                          <w:pStyle w:val="111"/>
                          <w:numPr>
                            <w:ilvl w:val="0"/>
                            <w:numId w:val="21"/>
                          </w:numPr>
                          <w:tabs>
                            <w:tab w:val="left" w:pos="284"/>
                            <w:tab w:val="left" w:pos="851"/>
                            <w:tab w:val="left" w:pos="1418"/>
                            <w:tab w:val="left" w:pos="1871"/>
                            <w:tab w:val="left" w:pos="1985"/>
                            <w:tab w:val="left" w:pos="2552"/>
                            <w:tab w:val="left" w:pos="3119"/>
                            <w:tab w:val="left" w:pos="3686"/>
                          </w:tabs>
                          <w:spacing w:after="0" w:line="257" w:lineRule="auto"/>
                          <w:ind w:left="641" w:hanging="357" w:firstLineChars="0"/>
                          <w:rPr>
                            <w:sz w:val="16"/>
                            <w:szCs w:val="15"/>
                          </w:rPr>
                        </w:pPr>
                        <w:r>
                          <w:rPr>
                            <w:rFonts w:hAnsi="Calibri" w:asciiTheme="minorHAnsi" w:eastAsiaTheme="minorEastAsia" w:cstheme="minorBidi"/>
                            <w:b/>
                            <w:bCs/>
                            <w:color w:val="000000" w:themeColor="text1"/>
                            <w:kern w:val="24"/>
                            <w:sz w:val="16"/>
                            <w:szCs w:val="15"/>
                            <w14:textFill>
                              <w14:solidFill>
                                <w14:schemeClr w14:val="tx1"/>
                              </w14:solidFill>
                            </w14:textFill>
                          </w:rPr>
                          <w:t>Connection Density (mMTC - &gt; MC)</w:t>
                        </w:r>
                      </w:p>
                      <w:p>
                        <w:pPr>
                          <w:pStyle w:val="111"/>
                          <w:numPr>
                            <w:ilvl w:val="0"/>
                            <w:numId w:val="21"/>
                          </w:numPr>
                          <w:tabs>
                            <w:tab w:val="left" w:pos="284"/>
                            <w:tab w:val="left" w:pos="851"/>
                            <w:tab w:val="left" w:pos="1418"/>
                            <w:tab w:val="left" w:pos="1871"/>
                            <w:tab w:val="left" w:pos="1985"/>
                            <w:tab w:val="left" w:pos="2552"/>
                            <w:tab w:val="left" w:pos="3119"/>
                            <w:tab w:val="left" w:pos="3686"/>
                          </w:tabs>
                          <w:spacing w:after="0" w:line="257" w:lineRule="auto"/>
                          <w:ind w:left="641" w:hanging="357" w:firstLineChars="0"/>
                          <w:rPr>
                            <w:sz w:val="16"/>
                            <w:szCs w:val="15"/>
                          </w:rPr>
                        </w:pPr>
                        <w:r>
                          <w:rPr>
                            <w:rFonts w:hAnsi="Calibri" w:asciiTheme="minorHAnsi" w:eastAsiaTheme="minorEastAsia" w:cstheme="minorBidi"/>
                            <w:b/>
                            <w:bCs/>
                            <w:color w:val="000000" w:themeColor="text1"/>
                            <w:kern w:val="24"/>
                            <w:sz w:val="16"/>
                            <w:szCs w:val="15"/>
                            <w14:textFill>
                              <w14:solidFill>
                                <w14:schemeClr w14:val="tx1"/>
                              </w14:solidFill>
                            </w14:textFill>
                          </w:rPr>
                          <w:t>SE in Mobility (eMBB -&gt; IC)</w:t>
                        </w:r>
                        <w:r>
                          <w:rPr>
                            <w:rFonts w:eastAsia="Times New Roman"/>
                            <w:b/>
                            <w:bCs/>
                            <w:color w:val="FFFFFF" w:themeColor="light1"/>
                            <w:kern w:val="24"/>
                            <w:sz w:val="16"/>
                            <w:szCs w:val="15"/>
                            <w14:textFill>
                              <w14:solidFill>
                                <w14:schemeClr w14:val="lt1"/>
                              </w14:solidFill>
                            </w14:textFill>
                          </w:rPr>
                          <w:t xml:space="preserve"> </w:t>
                        </w:r>
                      </w:p>
                      <w:p>
                        <w:pPr>
                          <w:pStyle w:val="111"/>
                          <w:numPr>
                            <w:ilvl w:val="0"/>
                            <w:numId w:val="21"/>
                          </w:numPr>
                          <w:tabs>
                            <w:tab w:val="left" w:pos="284"/>
                            <w:tab w:val="left" w:pos="851"/>
                            <w:tab w:val="left" w:pos="1418"/>
                            <w:tab w:val="left" w:pos="1871"/>
                            <w:tab w:val="left" w:pos="1985"/>
                            <w:tab w:val="left" w:pos="2552"/>
                            <w:tab w:val="left" w:pos="3119"/>
                            <w:tab w:val="left" w:pos="3686"/>
                          </w:tabs>
                          <w:spacing w:after="0" w:line="257" w:lineRule="auto"/>
                          <w:ind w:left="641" w:hanging="357" w:firstLineChars="0"/>
                          <w:rPr>
                            <w:sz w:val="16"/>
                            <w:szCs w:val="15"/>
                          </w:rPr>
                        </w:pPr>
                        <w:r>
                          <w:rPr>
                            <w:rFonts w:hAnsi="Calibri" w:asciiTheme="minorHAnsi" w:eastAsiaTheme="minorEastAsia" w:cstheme="minorBidi"/>
                            <w:b/>
                            <w:bCs/>
                            <w:color w:val="000000" w:themeColor="text1"/>
                            <w:kern w:val="24"/>
                            <w:sz w:val="16"/>
                            <w:szCs w:val="15"/>
                            <w14:textFill>
                              <w14:solidFill>
                                <w14:schemeClr w14:val="tx1"/>
                              </w14:solidFill>
                            </w14:textFill>
                          </w:rPr>
                          <w:t>Access and/or Transmission(uRLLC -&gt; hRLLC)</w:t>
                        </w:r>
                      </w:p>
                      <w:p>
                        <w:pPr>
                          <w:pStyle w:val="111"/>
                          <w:numPr>
                            <w:ilvl w:val="0"/>
                            <w:numId w:val="21"/>
                          </w:numPr>
                          <w:tabs>
                            <w:tab w:val="left" w:pos="284"/>
                            <w:tab w:val="left" w:pos="851"/>
                            <w:tab w:val="left" w:pos="1418"/>
                            <w:tab w:val="left" w:pos="1871"/>
                            <w:tab w:val="left" w:pos="1985"/>
                            <w:tab w:val="left" w:pos="2552"/>
                            <w:tab w:val="left" w:pos="3119"/>
                            <w:tab w:val="left" w:pos="3686"/>
                          </w:tabs>
                          <w:spacing w:after="0" w:line="257" w:lineRule="auto"/>
                          <w:ind w:left="641" w:hanging="357" w:firstLineChars="0"/>
                          <w:rPr>
                            <w:sz w:val="16"/>
                            <w:szCs w:val="15"/>
                          </w:rPr>
                        </w:pPr>
                        <w:r>
                          <w:rPr>
                            <w:rFonts w:hAnsi="Calibri" w:asciiTheme="minorHAnsi" w:eastAsiaTheme="minorEastAsia" w:cstheme="minorBidi"/>
                            <w:b/>
                            <w:bCs/>
                            <w:color w:val="000000" w:themeColor="text1"/>
                            <w:kern w:val="24"/>
                            <w:sz w:val="16"/>
                            <w:szCs w:val="15"/>
                            <w14:textFill>
                              <w14:solidFill>
                                <w14:schemeClr w14:val="tx1"/>
                              </w14:solidFill>
                            </w14:textFill>
                          </w:rPr>
                          <w:t>Energy Efficiency (Sustainability)</w:t>
                        </w:r>
                      </w:p>
                    </w:txbxContent>
                  </v:textbox>
                </v:roundrect>
                <v:shape id="椭圆 7" o:spid="_x0000_s1026" o:spt="3" type="#_x0000_t3" style="position:absolute;left:60124;top:16016;height:7919;width:7918;v-text-anchor:middle;" fillcolor="#ED7D31" filled="t" stroked="t" coordsize="21600,21600" o:gfxdata="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xV7yb4A&#10;AADaAAAADwAAAAAAAAABACAAAAAiAAAAZHJzL2Rvd25yZXYueG1sUEsBAhQAFAAAAAgAh07iQDMv&#10;BZ47AAAAOQAAABAAAAAAAAAAAQAgAAAADQEAAGRycy9zaGFwZXhtbC54bWxQSwUGAAAAAAYABgBb&#10;AQAAtwMAAAAA&#10;">
                  <v:fill on="t" focussize="0,0"/>
                  <v:stroke weight="1pt" color="#1F4D78" joinstyle="miter"/>
                  <v:imagedata o:title=""/>
                  <o:lock v:ext="edit" aspectratio="f"/>
                  <v:textbox>
                    <w:txbxContent>
                      <w:p>
                        <w:pPr>
                          <w:pStyle w:val="21"/>
                          <w:spacing w:before="0" w:beforeAutospacing="0" w:after="0" w:afterAutospacing="0"/>
                          <w:jc w:val="center"/>
                          <w:rPr>
                            <w:sz w:val="32"/>
                            <w:szCs w:val="32"/>
                          </w:rPr>
                        </w:pPr>
                        <w:r>
                          <w:rPr>
                            <w:rFonts w:hAnsi="Calibri" w:asciiTheme="minorHAnsi" w:eastAsiaTheme="minorEastAsia" w:cstheme="minorBidi"/>
                            <w:color w:val="FFFFFF" w:themeColor="light1"/>
                            <w:kern w:val="24"/>
                            <w:sz w:val="32"/>
                            <w:szCs w:val="32"/>
                            <w14:textFill>
                              <w14:solidFill>
                                <w14:schemeClr w14:val="lt1"/>
                              </w14:solidFill>
                            </w14:textFill>
                          </w:rPr>
                          <w:t>1</w:t>
                        </w:r>
                      </w:p>
                    </w:txbxContent>
                  </v:textbox>
                </v:shape>
                <v:shape id="直接箭头连接符 8" o:spid="_x0000_s1026" o:spt="32" type="#_x0000_t32" style="position:absolute;left:-10086;top:38969;flip:y;height:0;width:64085;rotation:5898240f;" filled="f" stroked="t" coordsize="21600,21600" o:gfxdata="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Ai0f2twAAANoAAAAP&#10;AAAAAAAAAAEAIAAAACIAAABkcnMvZG93bnJldi54bWxQSwECFAAUAAAACACHTuJAMy8FnjsAAAA5&#10;AAAAEAAAAAAAAAABACAAAAAGAQAAZHJzL3NoYXBleG1sLnhtbFBLBQYAAAAABgAGAFsBAACwAwAA&#10;AAA=&#10;">
                  <v:fill on="f" focussize="0,0"/>
                  <v:stroke weight="1.5pt" color="#000000" joinstyle="miter" endarrow="open"/>
                  <v:imagedata o:title=""/>
                  <o:lock v:ext="edit" aspectratio="f"/>
                </v:shape>
                <v:shape id="直接箭头连接符 9" o:spid="_x0000_s1026" o:spt="32" type="#_x0000_t32" style="position:absolute;left:-19087;top:41216;height:0;width:87129;" filled="f" stroked="t" coordsize="21600,21600" o:gfxdata="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mTp9bsAAADa&#10;AAAADwAAAAAAAAABACAAAAAiAAAAZHJzL2Rvd25yZXYueG1sUEsBAhQAFAAAAAgAh07iQDMvBZ47&#10;AAAAOQAAABAAAAAAAAAAAQAgAAAACgEAAGRycy9zaGFwZXhtbC54bWxQSwUGAAAAAAYABgBbAQAA&#10;tAMAAAAA&#10;">
                  <v:fill on="f" focussize="0,0"/>
                  <v:stroke weight="1.5pt" color="#000000" joinstyle="miter" endarrow="open"/>
                  <v:imagedata o:title=""/>
                  <o:lock v:ext="edit" aspectratio="f"/>
                </v:shape>
                <v:shape id="TextBox 10" o:spid="_x0000_s1026" o:spt="202" type="#_x0000_t202" style="position:absolute;left:8398;top:8175;height:5164;width:37444;" filled="f" stroked="f" coordsize="21600,21600" o:gfxdata="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fLaMLsAAADa&#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21"/>
                          <w:spacing w:before="0" w:beforeAutospacing="0" w:after="0" w:afterAutospacing="0"/>
                        </w:pPr>
                        <w:r>
                          <w:rPr>
                            <w:rFonts w:hAnsi="Calibri" w:asciiTheme="minorHAnsi" w:eastAsiaTheme="minorEastAsia" w:cstheme="minorBidi"/>
                            <w:b/>
                            <w:bCs/>
                            <w:i/>
                            <w:iCs/>
                            <w:color w:val="000000" w:themeColor="text1"/>
                            <w:kern w:val="24"/>
                            <w:sz w:val="28"/>
                            <w:szCs w:val="28"/>
                            <w14:textFill>
                              <w14:solidFill>
                                <w14:schemeClr w14:val="tx1"/>
                              </w14:solidFill>
                            </w14:textFill>
                          </w:rPr>
                          <w:t>IMT-2020 TPR (M.2410)</w:t>
                        </w:r>
                      </w:p>
                    </w:txbxContent>
                  </v:textbox>
                </v:shape>
                <v:shape id="TextBox 9" o:spid="_x0000_s1026" o:spt="202" type="#_x0000_t202" style="position:absolute;left:37794;top:41216;height:4123;width:40579;" filled="f" stroked="f" coordsize="21600,21600" o:gfxdata="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sbU5CtwAAANoAAAAP&#10;AAAAAAAAAAEAIAAAACIAAABkcnMvZG93bnJldi54bWxQSwECFAAUAAAACACHTuJAMy8FnjsAAAA5&#10;AAAAEAAAAAAAAAABACAAAAAGAQAAZHJzL3NoYXBleG1sLnhtbFBLBQYAAAAABgAGAFsBAACwAwAA&#10;AAA=&#10;">
                  <v:fill on="f" focussize="0,0"/>
                  <v:stroke on="f"/>
                  <v:imagedata o:title=""/>
                  <o:lock v:ext="edit" aspectratio="f"/>
                  <v:textbox style="mso-fit-shape-to-text:t;">
                    <w:txbxContent>
                      <w:p>
                        <w:pPr>
                          <w:pStyle w:val="21"/>
                          <w:spacing w:before="0" w:beforeAutospacing="0" w:after="0" w:afterAutospacing="0"/>
                          <w:rPr>
                            <w:sz w:val="20"/>
                            <w:szCs w:val="20"/>
                          </w:rPr>
                        </w:pPr>
                        <w:r>
                          <w:rPr>
                            <w:rFonts w:hAnsi="Calibri" w:asciiTheme="minorHAnsi" w:eastAsiaTheme="minorEastAsia" w:cstheme="minorBidi"/>
                            <w:b/>
                            <w:bCs/>
                            <w:i/>
                            <w:iCs/>
                            <w:color w:val="000000" w:themeColor="text1"/>
                            <w:kern w:val="24"/>
                            <w:sz w:val="20"/>
                            <w:szCs w:val="20"/>
                            <w14:textFill>
                              <w14:solidFill>
                                <w14:schemeClr w14:val="tx1"/>
                              </w14:solidFill>
                            </w14:textFill>
                          </w:rPr>
                          <w:t>IMT-2030 Capability &amp;5G Evaluation</w:t>
                        </w:r>
                      </w:p>
                    </w:txbxContent>
                  </v:textbox>
                </v:shape>
                <v:group id="组合 12" o:spid="_x0000_s1026" o:spt="203" style="position:absolute;left:-19087;top:44821;height:19437;width:38884;" coordorigin="-19087,44821" coordsize="57,30" o:gfxdata="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dQjSOvAAAANsAAAAPAAAAAAAAAAEAIAAAACIAAABkcnMvZG93bnJldi54bWxQ&#10;SwECFAAUAAAACACHTuJAMy8FnjsAAAA5AAAAFQAAAAAAAAABACAAAAALAQAAZHJzL2dyb3Vwc2hh&#10;cGV4bWwueG1sUEsFBgAAAAAGAAYAYAEAAMgDAAAAAA==&#10;">
                  <o:lock v:ext="edit" aspectratio="f"/>
                  <v:roundrect id="圆角矩形 45" o:spid="_x0000_s1026" o:spt="2" style="position:absolute;left:-19087;top:44826;height:25;width:58;v-text-anchor:middle;" fillcolor="#E6DCAC" filled="t" stroked="t" coordsize="21600,21600" arcsize="0.166666666666667" o:gfxdata="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jbzMvQAA&#10;ANoAAAAPAAAAAAAAAAEAIAAAACIAAABkcnMvZG93bnJldi54bWxQSwECFAAUAAAACACHTuJAMy8F&#10;njsAAAA5AAAAEAAAAAAAAAABACAAAAAMAQAAZHJzL3NoYXBleG1sLnhtbFBLBQYAAAAABgAGAFsB&#10;AAC2AwAAAAA=&#10;">
                    <v:fill type="gradient" on="t" color2="#E6DCAC" colors="0f #E6DCAC;7864f #E6D78A;19661f #C7AC4C;29491f #E6D78A;50463f #C7AC4C;65536f #E6DCAC" focus="100%" focussize="0,0" rotate="t">
                      <o:fill type="gradientUnscaled" v:ext="backwardCompatible"/>
                    </v:fill>
                    <v:stroke weight="1pt" color="#1F4D78" joinstyle="miter"/>
                    <v:imagedata o:title=""/>
                    <o:lock v:ext="edit" aspectratio="f"/>
                    <v:textbox>
                      <w:txbxContent>
                        <w:p>
                          <w:pPr>
                            <w:pStyle w:val="111"/>
                            <w:numPr>
                              <w:ilvl w:val="0"/>
                              <w:numId w:val="22"/>
                            </w:numPr>
                            <w:tabs>
                              <w:tab w:val="left" w:pos="284"/>
                              <w:tab w:val="left" w:pos="851"/>
                              <w:tab w:val="left" w:pos="1418"/>
                              <w:tab w:val="left" w:pos="1871"/>
                              <w:tab w:val="left" w:pos="1985"/>
                              <w:tab w:val="left" w:pos="2552"/>
                              <w:tab w:val="left" w:pos="3119"/>
                              <w:tab w:val="left" w:pos="3686"/>
                            </w:tabs>
                            <w:spacing w:after="0" w:line="256" w:lineRule="auto"/>
                            <w:ind w:firstLineChars="0"/>
                            <w:rPr>
                              <w:sz w:val="17"/>
                              <w:szCs w:val="17"/>
                            </w:rPr>
                          </w:pPr>
                          <w:r>
                            <w:rPr>
                              <w:rFonts w:eastAsia="Gulim"/>
                              <w:b/>
                              <w:bCs/>
                              <w:color w:val="0070C0"/>
                              <w:kern w:val="24"/>
                              <w:sz w:val="17"/>
                              <w:szCs w:val="17"/>
                              <w14:shadow w14:blurRad="50800" w14:dist="38100" w14:dir="2700000" w14:sx="100000" w14:sy="100000" w14:kx="0" w14:ky="0" w14:algn="tl">
                                <w14:srgbClr w14:val="000000">
                                  <w14:alpha w14:val="60000"/>
                                </w14:srgbClr>
                              </w14:shadow>
                            </w:rPr>
                            <w:t>Sensing-related capabilities</w:t>
                          </w:r>
                        </w:p>
                        <w:p>
                          <w:pPr>
                            <w:pStyle w:val="111"/>
                            <w:numPr>
                              <w:ilvl w:val="0"/>
                              <w:numId w:val="22"/>
                            </w:numPr>
                            <w:tabs>
                              <w:tab w:val="left" w:pos="284"/>
                              <w:tab w:val="left" w:pos="851"/>
                              <w:tab w:val="left" w:pos="1418"/>
                              <w:tab w:val="left" w:pos="1871"/>
                              <w:tab w:val="left" w:pos="1985"/>
                              <w:tab w:val="left" w:pos="2552"/>
                              <w:tab w:val="left" w:pos="3119"/>
                              <w:tab w:val="left" w:pos="3686"/>
                            </w:tabs>
                            <w:spacing w:after="0" w:line="256" w:lineRule="auto"/>
                            <w:ind w:firstLineChars="0"/>
                            <w:rPr>
                              <w:sz w:val="17"/>
                              <w:szCs w:val="17"/>
                            </w:rPr>
                          </w:pPr>
                          <w:r>
                            <w:rPr>
                              <w:rFonts w:eastAsia="Times New Roman"/>
                              <w:b/>
                              <w:bCs/>
                              <w:color w:val="0070C0"/>
                              <w:kern w:val="24"/>
                              <w:sz w:val="17"/>
                              <w:szCs w:val="17"/>
                              <w14:shadow w14:blurRad="50800" w14:dist="38100" w14:dir="2700000" w14:sx="100000" w14:sy="100000" w14:kx="0" w14:ky="0" w14:algn="tl">
                                <w14:srgbClr w14:val="000000">
                                  <w14:alpha w14:val="60000"/>
                                </w14:srgbClr>
                              </w14:shadow>
                            </w:rPr>
                            <w:t>Applicable AI-related capabilities</w:t>
                          </w:r>
                        </w:p>
                        <w:p>
                          <w:pPr>
                            <w:pStyle w:val="111"/>
                            <w:numPr>
                              <w:ilvl w:val="0"/>
                              <w:numId w:val="22"/>
                            </w:numPr>
                            <w:tabs>
                              <w:tab w:val="left" w:pos="284"/>
                              <w:tab w:val="left" w:pos="851"/>
                              <w:tab w:val="left" w:pos="1418"/>
                              <w:tab w:val="left" w:pos="1871"/>
                              <w:tab w:val="left" w:pos="1985"/>
                              <w:tab w:val="left" w:pos="2552"/>
                              <w:tab w:val="left" w:pos="3119"/>
                              <w:tab w:val="left" w:pos="3686"/>
                            </w:tabs>
                            <w:spacing w:after="0" w:line="256" w:lineRule="auto"/>
                            <w:ind w:firstLineChars="0"/>
                            <w:rPr>
                              <w:sz w:val="17"/>
                              <w:szCs w:val="17"/>
                            </w:rPr>
                          </w:pPr>
                          <w:r>
                            <w:rPr>
                              <w:rFonts w:eastAsia="Times New Roman"/>
                              <w:b/>
                              <w:bCs/>
                              <w:color w:val="0070C0"/>
                              <w:kern w:val="24"/>
                              <w:sz w:val="17"/>
                              <w:szCs w:val="17"/>
                              <w14:shadow w14:blurRad="50800" w14:dist="38100" w14:dir="2700000" w14:sx="100000" w14:sy="100000" w14:kx="0" w14:ky="0" w14:algn="tl">
                                <w14:srgbClr w14:val="000000">
                                  <w14:alpha w14:val="60000"/>
                                </w14:srgbClr>
                              </w14:shadow>
                            </w:rPr>
                            <w:t>Interoperability</w:t>
                          </w:r>
                        </w:p>
                        <w:p>
                          <w:pPr>
                            <w:pStyle w:val="111"/>
                            <w:numPr>
                              <w:ilvl w:val="0"/>
                              <w:numId w:val="22"/>
                            </w:numPr>
                            <w:tabs>
                              <w:tab w:val="left" w:pos="284"/>
                              <w:tab w:val="left" w:pos="851"/>
                              <w:tab w:val="left" w:pos="1418"/>
                              <w:tab w:val="left" w:pos="1871"/>
                              <w:tab w:val="left" w:pos="1985"/>
                              <w:tab w:val="left" w:pos="2552"/>
                              <w:tab w:val="left" w:pos="3119"/>
                              <w:tab w:val="left" w:pos="3686"/>
                            </w:tabs>
                            <w:spacing w:after="0" w:line="256" w:lineRule="auto"/>
                            <w:ind w:firstLineChars="0"/>
                            <w:rPr>
                              <w:sz w:val="17"/>
                              <w:szCs w:val="17"/>
                            </w:rPr>
                          </w:pPr>
                          <w:r>
                            <w:rPr>
                              <w:rFonts w:eastAsia="Times New Roman"/>
                              <w:b/>
                              <w:bCs/>
                              <w:color w:val="0070C0"/>
                              <w:kern w:val="24"/>
                              <w:sz w:val="17"/>
                              <w:szCs w:val="17"/>
                              <w14:shadow w14:blurRad="50800" w14:dist="38100" w14:dir="2700000" w14:sx="100000" w14:sy="100000" w14:kx="0" w14:ky="0" w14:algn="tl">
                                <w14:srgbClr w14:val="000000">
                                  <w14:alpha w14:val="60000"/>
                                </w14:srgbClr>
                              </w14:shadow>
                            </w:rPr>
                            <w:t>Security and Resilience</w:t>
                          </w:r>
                        </w:p>
                      </w:txbxContent>
                    </v:textbox>
                  </v:roundrect>
                  <v:shape id="椭圆 16" o:spid="_x0000_s1026" o:spt="3" type="#_x0000_t3" style="position:absolute;left:-19083;top:44821;height:12;width:12;v-text-anchor:middle;" fillcolor="#ED7D31" filled="t" stroked="t" coordsize="21600,21600" o:gfxdata="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h9uym/&#10;AAAA2wAAAA8AAAAAAAAAAQAgAAAAIgAAAGRycy9kb3ducmV2LnhtbFBLAQIUABQAAAAIAIdO4kAz&#10;LwWeOwAAADkAAAAQAAAAAAAAAAEAIAAAAA4BAABkcnMvc2hhcGV4bWwueG1sUEsFBgAAAAAGAAYA&#10;WwEAALgDAAAAAA==&#10;">
                    <v:fill on="t" focussize="0,0"/>
                    <v:stroke weight="1pt" color="#1F4D78" joinstyle="miter"/>
                    <v:imagedata o:title=""/>
                    <o:lock v:ext="edit" aspectratio="f"/>
                    <v:textbox>
                      <w:txbxContent>
                        <w:p>
                          <w:pPr>
                            <w:pStyle w:val="21"/>
                            <w:spacing w:before="0" w:beforeAutospacing="0" w:after="0" w:afterAutospacing="0"/>
                            <w:jc w:val="center"/>
                            <w:rPr>
                              <w:sz w:val="32"/>
                              <w:szCs w:val="32"/>
                            </w:rPr>
                          </w:pPr>
                          <w:r>
                            <w:rPr>
                              <w:rFonts w:hAnsi="Calibri" w:asciiTheme="minorHAnsi" w:eastAsiaTheme="minorEastAsia" w:cstheme="minorBidi"/>
                              <w:color w:val="FFFFFF" w:themeColor="light1"/>
                              <w:kern w:val="24"/>
                              <w:sz w:val="32"/>
                              <w:szCs w:val="32"/>
                              <w14:textFill>
                                <w14:solidFill>
                                  <w14:schemeClr w14:val="lt1"/>
                                </w14:solidFill>
                              </w14:textFill>
                            </w:rPr>
                            <w:t>3</w:t>
                          </w:r>
                        </w:p>
                      </w:txbxContent>
                    </v:textbox>
                  </v:shape>
                </v:group>
                <v:roundrect id="圆角矩形 49" o:spid="_x0000_s1026" o:spt="2" style="position:absolute;left:23397;top:48416;height:15843;width:43205;v-text-anchor:middle;" fillcolor="#5E9EFF" filled="t" stroked="t" coordsize="21600,21600" arcsize="0.166666666666667" o:gfxdata="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Ikteu5AAAA2wAA&#10;AA8AAAAAAAAAAQAgAAAAIgAAAGRycy9kb3ducmV2LnhtbFBLAQIUABQAAAAIAIdO4kAzLwWeOwAA&#10;ADkAAAAQAAAAAAAAAAEAIAAAAAgBAABkcnMvc2hhcGV4bWwueG1sUEsFBgAAAAAGAAYAWwEAALID&#10;AAAAAA==&#10;">
                  <v:fill type="gradient" on="t" color2="#FFEBFA" colors="0f #5E9EFF;26214f #85C2FF;45875f #C4D6EB;65536f #FFEBFA" focus="100%" focussize="0,0" rotate="t">
                    <o:fill type="gradientUnscaled" v:ext="backwardCompatible"/>
                  </v:fill>
                  <v:stroke weight="1pt" color="#1F4D78" joinstyle="miter"/>
                  <v:imagedata o:title=""/>
                  <o:lock v:ext="edit" aspectratio="f"/>
                  <v:textbox>
                    <w:txbxContent>
                      <w:p>
                        <w:pPr>
                          <w:pStyle w:val="111"/>
                          <w:numPr>
                            <w:ilvl w:val="0"/>
                            <w:numId w:val="23"/>
                          </w:numPr>
                          <w:tabs>
                            <w:tab w:val="left" w:pos="284"/>
                            <w:tab w:val="left" w:pos="851"/>
                            <w:tab w:val="left" w:pos="1418"/>
                            <w:tab w:val="left" w:pos="1871"/>
                            <w:tab w:val="left" w:pos="1985"/>
                            <w:tab w:val="left" w:pos="2552"/>
                            <w:tab w:val="left" w:pos="3119"/>
                            <w:tab w:val="left" w:pos="3686"/>
                          </w:tabs>
                          <w:spacing w:after="0" w:line="256" w:lineRule="auto"/>
                          <w:ind w:firstLineChars="0"/>
                          <w:rPr>
                            <w:szCs w:val="20"/>
                          </w:rPr>
                        </w:pPr>
                        <w:r>
                          <w:rPr>
                            <w:rFonts w:hAnsi="Calibri" w:asciiTheme="minorHAnsi" w:eastAsiaTheme="minorEastAsia" w:cstheme="minorBidi"/>
                            <w:b/>
                            <w:bCs/>
                            <w:color w:val="C55A11" w:themeColor="accent2" w:themeShade="BF"/>
                            <w:kern w:val="24"/>
                            <w:szCs w:val="20"/>
                          </w:rPr>
                          <w:t>Coverage</w:t>
                        </w:r>
                      </w:p>
                      <w:p>
                        <w:pPr>
                          <w:pStyle w:val="111"/>
                          <w:numPr>
                            <w:ilvl w:val="0"/>
                            <w:numId w:val="23"/>
                          </w:numPr>
                          <w:tabs>
                            <w:tab w:val="left" w:pos="284"/>
                            <w:tab w:val="left" w:pos="851"/>
                            <w:tab w:val="left" w:pos="1418"/>
                            <w:tab w:val="left" w:pos="1871"/>
                            <w:tab w:val="left" w:pos="1985"/>
                            <w:tab w:val="left" w:pos="2552"/>
                            <w:tab w:val="left" w:pos="3119"/>
                            <w:tab w:val="left" w:pos="3686"/>
                          </w:tabs>
                          <w:spacing w:after="0" w:line="256" w:lineRule="auto"/>
                          <w:ind w:firstLineChars="0"/>
                          <w:rPr>
                            <w:szCs w:val="20"/>
                          </w:rPr>
                        </w:pPr>
                        <w:r>
                          <w:rPr>
                            <w:rFonts w:hAnsi="Calibri" w:asciiTheme="minorHAnsi" w:eastAsiaTheme="minorEastAsia" w:cstheme="minorBidi"/>
                            <w:b/>
                            <w:bCs/>
                            <w:color w:val="C55A11" w:themeColor="accent2" w:themeShade="BF"/>
                            <w:kern w:val="24"/>
                            <w:szCs w:val="20"/>
                          </w:rPr>
                          <w:t>Positioning</w:t>
                        </w:r>
                      </w:p>
                      <w:p>
                        <w:pPr>
                          <w:pStyle w:val="111"/>
                          <w:numPr>
                            <w:ilvl w:val="0"/>
                            <w:numId w:val="23"/>
                          </w:numPr>
                          <w:tabs>
                            <w:tab w:val="left" w:pos="284"/>
                            <w:tab w:val="left" w:pos="851"/>
                            <w:tab w:val="left" w:pos="1418"/>
                            <w:tab w:val="left" w:pos="1871"/>
                            <w:tab w:val="left" w:pos="1985"/>
                            <w:tab w:val="left" w:pos="2552"/>
                            <w:tab w:val="left" w:pos="3119"/>
                            <w:tab w:val="left" w:pos="3686"/>
                          </w:tabs>
                          <w:spacing w:after="0" w:line="256" w:lineRule="auto"/>
                          <w:ind w:firstLineChars="0"/>
                          <w:rPr>
                            <w:szCs w:val="20"/>
                          </w:rPr>
                        </w:pPr>
                        <w:r>
                          <w:rPr>
                            <w:rFonts w:hAnsi="Calibri" w:asciiTheme="minorHAnsi" w:eastAsiaTheme="minorEastAsia" w:cstheme="minorBidi"/>
                            <w:b/>
                            <w:bCs/>
                            <w:color w:val="C55A11" w:themeColor="accent2" w:themeShade="BF"/>
                            <w:kern w:val="24"/>
                            <w:szCs w:val="20"/>
                          </w:rPr>
                          <w:t>Sustainability (PSG, ESG)</w:t>
                        </w:r>
                      </w:p>
                    </w:txbxContent>
                  </v:textbox>
                </v:roundrect>
                <v:shape id="椭圆 14" o:spid="_x0000_s1026" o:spt="3" type="#_x0000_t3" style="position:absolute;left:57961;top:45537;height:7918;width:7918;v-text-anchor:middle;" fillcolor="#ED7D31" filled="t" stroked="t" coordsize="21600,21600" o:gfxdata="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ryVevQAA&#10;ANsAAAAPAAAAAAAAAAEAIAAAACIAAABkcnMvZG93bnJldi54bWxQSwECFAAUAAAACACHTuJAMy8F&#10;njsAAAA5AAAAEAAAAAAAAAABACAAAAAMAQAAZHJzL3NoYXBleG1sLnhtbFBLBQYAAAAABgAGAFsB&#10;AAC2AwAAAAA=&#10;">
                  <v:fill on="t" focussize="0,0"/>
                  <v:stroke weight="1pt" color="#1F4D78" joinstyle="miter"/>
                  <v:imagedata o:title=""/>
                  <o:lock v:ext="edit" aspectratio="f"/>
                  <v:textbox>
                    <w:txbxContent>
                      <w:p>
                        <w:pPr>
                          <w:pStyle w:val="21"/>
                          <w:spacing w:before="0" w:beforeAutospacing="0" w:after="0" w:afterAutospacing="0"/>
                          <w:jc w:val="center"/>
                          <w:rPr>
                            <w:sz w:val="32"/>
                            <w:szCs w:val="32"/>
                          </w:rPr>
                        </w:pPr>
                        <w:r>
                          <w:rPr>
                            <w:rFonts w:hAnsi="Calibri" w:asciiTheme="minorHAnsi" w:eastAsiaTheme="minorEastAsia" w:cstheme="minorBidi"/>
                            <w:color w:val="FFFFFF" w:themeColor="light1"/>
                            <w:kern w:val="24"/>
                            <w:sz w:val="32"/>
                            <w:szCs w:val="32"/>
                            <w14:textFill>
                              <w14:solidFill>
                                <w14:schemeClr w14:val="lt1"/>
                              </w14:solidFill>
                            </w14:textFill>
                          </w:rPr>
                          <w:t>4</w:t>
                        </w:r>
                      </w:p>
                    </w:txbxContent>
                  </v:textbox>
                </v:shape>
                <w10:wrap type="none"/>
                <w10:anchorlock/>
              </v:group>
            </w:pict>
          </mc:Fallback>
        </mc:AlternateContent>
      </w:r>
    </w:p>
    <w:p>
      <w:pPr>
        <w:pStyle w:val="12"/>
        <w:keepNext w:val="0"/>
        <w:keepLines w:val="0"/>
        <w:pageBreakBefore w:val="0"/>
        <w:widowControl/>
        <w:kinsoku/>
        <w:wordWrap/>
        <w:overflowPunct/>
        <w:topLinePunct w:val="0"/>
        <w:autoSpaceDE/>
        <w:autoSpaceDN/>
        <w:bidi w:val="0"/>
        <w:adjustRightInd/>
        <w:snapToGrid w:val="0"/>
        <w:spacing w:before="120" w:after="120" w:line="240" w:lineRule="auto"/>
        <w:jc w:val="center"/>
        <w:textAlignment w:val="auto"/>
        <w:rPr>
          <w:rFonts w:eastAsiaTheme="minorEastAsia"/>
          <w:lang w:eastAsia="zh-CN"/>
        </w:rPr>
      </w:pPr>
      <w:r>
        <w:t xml:space="preserve">Figure. </w:t>
      </w:r>
      <w:r>
        <w:rPr>
          <w:b w:val="0"/>
          <w:bCs w:val="0"/>
        </w:rPr>
        <w:fldChar w:fldCharType="begin"/>
      </w:r>
      <w:r>
        <w:instrText xml:space="preserve"> SEQ Figure. \* ARABIC </w:instrText>
      </w:r>
      <w:r>
        <w:rPr>
          <w:b w:val="0"/>
          <w:bCs w:val="0"/>
        </w:rPr>
        <w:fldChar w:fldCharType="separate"/>
      </w:r>
      <w:r>
        <w:t>1</w:t>
      </w:r>
      <w:r>
        <w:rPr>
          <w:b w:val="0"/>
          <w:bCs w:val="0"/>
        </w:rPr>
        <w:fldChar w:fldCharType="end"/>
      </w:r>
      <w:r>
        <w:rPr>
          <w:rFonts w:hint="eastAsia" w:eastAsiaTheme="minorEastAsia"/>
          <w:lang w:eastAsia="zh-CN"/>
        </w:rPr>
        <w:t xml:space="preserve">  Categorization of merged items from ITU-R M.2410 and M.2160</w:t>
      </w:r>
    </w:p>
    <w:p>
      <w:pPr>
        <w:keepNext w:val="0"/>
        <w:keepLines w:val="0"/>
        <w:pageBreakBefore w:val="0"/>
        <w:widowControl/>
        <w:kinsoku/>
        <w:wordWrap/>
        <w:overflowPunct/>
        <w:topLinePunct w:val="0"/>
        <w:autoSpaceDE/>
        <w:autoSpaceDN/>
        <w:bidi w:val="0"/>
        <w:adjustRightInd/>
        <w:snapToGrid w:val="0"/>
        <w:spacing w:before="120" w:after="120" w:line="240" w:lineRule="auto"/>
        <w:textAlignment w:val="auto"/>
        <w:rPr>
          <w:rFonts w:hint="eastAsia" w:eastAsiaTheme="minorEastAsia"/>
          <w:i/>
        </w:rPr>
      </w:pPr>
      <w:r>
        <w:rPr>
          <w:b/>
          <w:i/>
        </w:rPr>
        <w:t xml:space="preserve">Proposal </w:t>
      </w:r>
      <w:r>
        <w:rPr>
          <w:rFonts w:hint="eastAsia" w:eastAsiaTheme="minorEastAsia"/>
          <w:b/>
          <w:i/>
        </w:rPr>
        <w:t>3</w:t>
      </w:r>
      <w:r>
        <w:rPr>
          <w:rFonts w:hint="eastAsia"/>
          <w:b/>
          <w:i/>
        </w:rPr>
        <w:t xml:space="preserve">: </w:t>
      </w:r>
      <w:r>
        <w:rPr>
          <w:rFonts w:hint="eastAsia" w:eastAsiaTheme="minorEastAsia"/>
          <w:i/>
        </w:rPr>
        <w:t>To ensure sufficient deliverable focusing on ITU IMT-2030, it's suggested to consider categorization based approach and follow different discussion working method for different categorization of TPRs.</w:t>
      </w:r>
    </w:p>
    <w:p>
      <w:pPr>
        <w:keepNext w:val="0"/>
        <w:keepLines w:val="0"/>
        <w:pageBreakBefore w:val="0"/>
        <w:widowControl/>
        <w:kinsoku/>
        <w:wordWrap/>
        <w:overflowPunct/>
        <w:topLinePunct w:val="0"/>
        <w:autoSpaceDE/>
        <w:autoSpaceDN/>
        <w:bidi w:val="0"/>
        <w:adjustRightInd/>
        <w:snapToGrid w:val="0"/>
        <w:spacing w:before="120" w:after="120" w:line="240" w:lineRule="auto"/>
        <w:textAlignment w:val="auto"/>
        <w:rPr>
          <w:rFonts w:hint="eastAsia" w:eastAsiaTheme="minorEastAsia"/>
          <w:i/>
        </w:rPr>
      </w:pP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361" w:beforeLines="100" w:after="361" w:afterLines="100" w:line="240" w:lineRule="auto"/>
        <w:ind w:left="425" w:hanging="425"/>
        <w:jc w:val="both"/>
        <w:textAlignment w:val="auto"/>
        <w:outlineLvl w:val="0"/>
        <w:rPr>
          <w:rFonts w:eastAsia="宋体"/>
          <w:b/>
          <w:sz w:val="28"/>
          <w:szCs w:val="28"/>
        </w:rPr>
      </w:pPr>
      <w:r>
        <w:rPr>
          <w:rFonts w:hint="eastAsia" w:eastAsia="宋体"/>
          <w:b/>
          <w:sz w:val="28"/>
          <w:szCs w:val="28"/>
        </w:rPr>
        <w:t>Conclusion</w:t>
      </w:r>
    </w:p>
    <w:p>
      <w:pPr>
        <w:keepLines w:val="0"/>
        <w:pageBreakBefore w:val="0"/>
        <w:widowControl w:val="0"/>
        <w:kinsoku/>
        <w:wordWrap/>
        <w:topLinePunct w:val="0"/>
        <w:bidi w:val="0"/>
        <w:snapToGrid w:val="0"/>
        <w:spacing w:before="120" w:afterLines="50" w:line="300" w:lineRule="auto"/>
        <w:jc w:val="both"/>
        <w:rPr>
          <w:rFonts w:eastAsia="微软雅黑"/>
          <w:szCs w:val="20"/>
        </w:rPr>
      </w:pPr>
      <w:r>
        <w:rPr>
          <w:rFonts w:hint="eastAsia" w:eastAsia="微软雅黑"/>
          <w:szCs w:val="20"/>
        </w:rPr>
        <w:t>I</w:t>
      </w:r>
      <w:r>
        <w:rPr>
          <w:rFonts w:eastAsia="微软雅黑"/>
          <w:szCs w:val="20"/>
        </w:rPr>
        <w:t>n this contribution, we elaborate</w:t>
      </w:r>
      <w:r>
        <w:rPr>
          <w:rFonts w:hint="eastAsia" w:eastAsia="微软雅黑"/>
          <w:szCs w:val="20"/>
        </w:rPr>
        <w:t xml:space="preserve"> our views on RAN study for IMT-2030. </w:t>
      </w:r>
      <w:r>
        <w:rPr>
          <w:rFonts w:eastAsia="微软雅黑"/>
          <w:szCs w:val="20"/>
        </w:rPr>
        <w:t xml:space="preserve">Our proposals </w:t>
      </w:r>
      <w:r>
        <w:rPr>
          <w:rFonts w:hint="eastAsia" w:eastAsia="微软雅黑"/>
          <w:szCs w:val="20"/>
        </w:rPr>
        <w:t>are listed as follows.</w:t>
      </w:r>
    </w:p>
    <w:p>
      <w:pPr>
        <w:keepNext w:val="0"/>
        <w:keepLines w:val="0"/>
        <w:pageBreakBefore w:val="0"/>
        <w:widowControl/>
        <w:kinsoku/>
        <w:wordWrap/>
        <w:topLinePunct w:val="0"/>
        <w:bidi w:val="0"/>
        <w:snapToGrid w:val="0"/>
        <w:spacing w:before="181" w:beforeLines="50" w:after="120" w:line="240" w:lineRule="auto"/>
        <w:jc w:val="both"/>
        <w:rPr>
          <w:rFonts w:eastAsiaTheme="minorEastAsia"/>
          <w:b w:val="0"/>
          <w:bCs w:val="0"/>
          <w:i/>
        </w:rPr>
      </w:pPr>
      <w:r>
        <w:rPr>
          <w:rFonts w:eastAsiaTheme="minorEastAsia"/>
          <w:b/>
          <w:i/>
        </w:rPr>
        <w:t>Proposal 1:</w:t>
      </w:r>
      <w:r>
        <w:rPr>
          <w:rFonts w:hint="eastAsia" w:eastAsiaTheme="minorEastAsia"/>
          <w:b/>
          <w:i/>
          <w:lang w:val="en-US" w:eastAsia="zh-CN"/>
        </w:rPr>
        <w:t xml:space="preserve"> </w:t>
      </w:r>
      <w:r>
        <w:rPr>
          <w:rFonts w:hint="eastAsia" w:eastAsiaTheme="minorEastAsia"/>
          <w:b w:val="0"/>
          <w:bCs w:val="0"/>
          <w:i/>
          <w:lang w:val="en-US" w:eastAsia="zh-CN"/>
        </w:rPr>
        <w:t>A</w:t>
      </w:r>
      <w:r>
        <w:rPr>
          <w:rFonts w:eastAsiaTheme="minorEastAsia"/>
          <w:b w:val="0"/>
          <w:bCs w:val="0"/>
          <w:i/>
        </w:rPr>
        <w:t xml:space="preserve">lign the following understandings in the three steps described in the introduction: </w:t>
      </w:r>
    </w:p>
    <w:p>
      <w:pPr>
        <w:keepNext w:val="0"/>
        <w:keepLines w:val="0"/>
        <w:pageBreakBefore w:val="0"/>
        <w:widowControl/>
        <w:numPr>
          <w:ilvl w:val="0"/>
          <w:numId w:val="11"/>
        </w:numPr>
        <w:kinsoku/>
        <w:wordWrap/>
        <w:topLinePunct w:val="0"/>
        <w:bidi w:val="0"/>
        <w:snapToGrid w:val="0"/>
        <w:spacing w:before="181" w:beforeLines="50" w:after="120" w:line="240" w:lineRule="auto"/>
        <w:ind w:left="420" w:hanging="420"/>
        <w:jc w:val="both"/>
        <w:rPr>
          <w:rFonts w:eastAsiaTheme="minorEastAsia"/>
          <w:b w:val="0"/>
          <w:bCs w:val="0"/>
          <w:i/>
        </w:rPr>
      </w:pPr>
      <w:r>
        <w:rPr>
          <w:rFonts w:eastAsiaTheme="minorEastAsia"/>
          <w:b w:val="0"/>
          <w:bCs w:val="0"/>
          <w:i/>
        </w:rPr>
        <w:t>IMT-2030 discussion in RAN from 09/24 to 12/24</w:t>
      </w:r>
    </w:p>
    <w:p>
      <w:pPr>
        <w:keepNext w:val="0"/>
        <w:keepLines w:val="0"/>
        <w:pageBreakBefore w:val="0"/>
        <w:widowControl/>
        <w:numPr>
          <w:ilvl w:val="0"/>
          <w:numId w:val="12"/>
        </w:numPr>
        <w:kinsoku/>
        <w:wordWrap/>
        <w:topLinePunct w:val="0"/>
        <w:bidi w:val="0"/>
        <w:snapToGrid w:val="0"/>
        <w:spacing w:before="181" w:beforeLines="50" w:after="120" w:line="240" w:lineRule="auto"/>
        <w:jc w:val="both"/>
        <w:rPr>
          <w:rFonts w:eastAsiaTheme="minorEastAsia"/>
          <w:b w:val="0"/>
          <w:bCs w:val="0"/>
          <w:i/>
        </w:rPr>
      </w:pPr>
      <w:r>
        <w:rPr>
          <w:rFonts w:eastAsiaTheme="minorEastAsia"/>
          <w:b w:val="0"/>
          <w:bCs w:val="0"/>
          <w:i/>
        </w:rPr>
        <w:t>Initial views on the scope of RAN-level SIs and TPRs from companies are expected but the discussion should be limited before the actual SI starts.</w:t>
      </w:r>
    </w:p>
    <w:p>
      <w:pPr>
        <w:keepNext w:val="0"/>
        <w:keepLines w:val="0"/>
        <w:pageBreakBefore w:val="0"/>
        <w:widowControl/>
        <w:numPr>
          <w:ilvl w:val="0"/>
          <w:numId w:val="11"/>
        </w:numPr>
        <w:kinsoku/>
        <w:wordWrap/>
        <w:topLinePunct w:val="0"/>
        <w:bidi w:val="0"/>
        <w:snapToGrid w:val="0"/>
        <w:spacing w:before="181" w:beforeLines="50" w:after="120" w:line="240" w:lineRule="auto"/>
        <w:ind w:left="420" w:hanging="420"/>
        <w:jc w:val="both"/>
        <w:rPr>
          <w:rFonts w:eastAsiaTheme="minorEastAsia"/>
          <w:b w:val="0"/>
          <w:bCs w:val="0"/>
          <w:i/>
        </w:rPr>
      </w:pPr>
      <w:r>
        <w:rPr>
          <w:rFonts w:eastAsiaTheme="minorEastAsia"/>
          <w:b w:val="0"/>
          <w:bCs w:val="0"/>
          <w:i/>
        </w:rPr>
        <w:t>RP SI Rel-20 focusing on ITU– IMT-2030:  approval 12/24 until 06/25</w:t>
      </w:r>
    </w:p>
    <w:p>
      <w:pPr>
        <w:keepNext w:val="0"/>
        <w:keepLines w:val="0"/>
        <w:pageBreakBefore w:val="0"/>
        <w:widowControl/>
        <w:numPr>
          <w:ilvl w:val="0"/>
          <w:numId w:val="13"/>
        </w:numPr>
        <w:kinsoku/>
        <w:wordWrap/>
        <w:topLinePunct w:val="0"/>
        <w:bidi w:val="0"/>
        <w:snapToGrid w:val="0"/>
        <w:spacing w:before="181" w:beforeLines="50" w:after="120" w:line="240" w:lineRule="auto"/>
        <w:jc w:val="both"/>
        <w:rPr>
          <w:rFonts w:eastAsiaTheme="minorEastAsia"/>
          <w:b w:val="0"/>
          <w:bCs w:val="0"/>
          <w:i/>
          <w:highlight w:val="none"/>
        </w:rPr>
      </w:pPr>
      <w:r>
        <w:rPr>
          <w:rFonts w:eastAsiaTheme="minorEastAsia"/>
          <w:b w:val="0"/>
          <w:bCs w:val="0"/>
          <w:i/>
        </w:rPr>
        <w:t>Ba</w:t>
      </w:r>
      <w:r>
        <w:rPr>
          <w:rFonts w:eastAsiaTheme="minorEastAsia"/>
          <w:b w:val="0"/>
          <w:bCs w:val="0"/>
          <w:i/>
          <w:highlight w:val="none"/>
        </w:rPr>
        <w:t xml:space="preserve">sed on the LS and the progress from ITU-R WP5D, IMT-2030 TPR (Technical Performance Requirements) are expected to be discussed.  Companies are encouraged to provide their views on TPRs during the SI discussion.  </w:t>
      </w:r>
    </w:p>
    <w:p>
      <w:pPr>
        <w:keepNext w:val="0"/>
        <w:keepLines w:val="0"/>
        <w:pageBreakBefore w:val="0"/>
        <w:widowControl/>
        <w:numPr>
          <w:ilvl w:val="0"/>
          <w:numId w:val="13"/>
        </w:numPr>
        <w:kinsoku/>
        <w:wordWrap/>
        <w:topLinePunct w:val="0"/>
        <w:bidi w:val="0"/>
        <w:snapToGrid w:val="0"/>
        <w:spacing w:before="181" w:beforeLines="50" w:after="120" w:line="240" w:lineRule="auto"/>
        <w:jc w:val="both"/>
        <w:rPr>
          <w:rFonts w:eastAsiaTheme="minorEastAsia"/>
          <w:b w:val="0"/>
          <w:bCs w:val="0"/>
          <w:i/>
          <w:highlight w:val="none"/>
        </w:rPr>
      </w:pPr>
      <w:r>
        <w:rPr>
          <w:rFonts w:eastAsiaTheme="minorEastAsia"/>
          <w:b w:val="0"/>
          <w:bCs w:val="0"/>
          <w:i/>
          <w:highlight w:val="none"/>
        </w:rPr>
        <w:t>One external TR is sufficient</w:t>
      </w:r>
    </w:p>
    <w:p>
      <w:pPr>
        <w:keepNext w:val="0"/>
        <w:keepLines w:val="0"/>
        <w:pageBreakBefore w:val="0"/>
        <w:widowControl/>
        <w:numPr>
          <w:ilvl w:val="0"/>
          <w:numId w:val="11"/>
        </w:numPr>
        <w:kinsoku/>
        <w:wordWrap/>
        <w:topLinePunct w:val="0"/>
        <w:bidi w:val="0"/>
        <w:snapToGrid w:val="0"/>
        <w:spacing w:before="181" w:beforeLines="50" w:after="120" w:line="240" w:lineRule="auto"/>
        <w:ind w:left="420" w:hanging="420"/>
        <w:jc w:val="both"/>
        <w:rPr>
          <w:rFonts w:eastAsiaTheme="minorEastAsia"/>
          <w:b w:val="0"/>
          <w:bCs w:val="0"/>
          <w:i/>
        </w:rPr>
      </w:pPr>
      <w:r>
        <w:rPr>
          <w:rFonts w:eastAsiaTheme="minorEastAsia"/>
          <w:b w:val="0"/>
          <w:bCs w:val="0"/>
          <w:i/>
        </w:rPr>
        <w:t>RP SI Rel-20 focusing on 6G General: approval 03/25 (after WS),  until 06/26</w:t>
      </w:r>
    </w:p>
    <w:p>
      <w:pPr>
        <w:keepNext w:val="0"/>
        <w:keepLines w:val="0"/>
        <w:pageBreakBefore w:val="0"/>
        <w:widowControl/>
        <w:numPr>
          <w:ilvl w:val="0"/>
          <w:numId w:val="14"/>
        </w:numPr>
        <w:kinsoku/>
        <w:wordWrap/>
        <w:topLinePunct w:val="0"/>
        <w:bidi w:val="0"/>
        <w:snapToGrid w:val="0"/>
        <w:spacing w:before="181" w:beforeLines="50" w:after="120" w:line="240" w:lineRule="auto"/>
        <w:jc w:val="both"/>
        <w:rPr>
          <w:rFonts w:eastAsiaTheme="minorEastAsia"/>
          <w:b w:val="0"/>
          <w:bCs w:val="0"/>
          <w:i/>
          <w:highlight w:val="none"/>
        </w:rPr>
      </w:pPr>
      <w:r>
        <w:rPr>
          <w:rFonts w:eastAsiaTheme="minorEastAsia"/>
          <w:b w:val="0"/>
          <w:bCs w:val="0"/>
          <w:i/>
          <w:highlight w:val="none"/>
        </w:rPr>
        <w:t>Remaining work from the first SI on TPR for ITU IMT-2030</w:t>
      </w:r>
    </w:p>
    <w:p>
      <w:pPr>
        <w:keepNext w:val="0"/>
        <w:keepLines w:val="0"/>
        <w:pageBreakBefore w:val="0"/>
        <w:widowControl/>
        <w:numPr>
          <w:ilvl w:val="1"/>
          <w:numId w:val="14"/>
        </w:numPr>
        <w:kinsoku/>
        <w:wordWrap/>
        <w:topLinePunct w:val="0"/>
        <w:bidi w:val="0"/>
        <w:snapToGrid w:val="0"/>
        <w:spacing w:before="181" w:beforeLines="50" w:after="120" w:line="240" w:lineRule="auto"/>
        <w:jc w:val="both"/>
        <w:rPr>
          <w:rFonts w:eastAsiaTheme="minorEastAsia"/>
          <w:b w:val="0"/>
          <w:bCs w:val="0"/>
          <w:i/>
          <w:highlight w:val="none"/>
        </w:rPr>
      </w:pPr>
      <w:r>
        <w:rPr>
          <w:rFonts w:eastAsiaTheme="minorEastAsia"/>
          <w:b w:val="0"/>
          <w:bCs w:val="0"/>
          <w:i/>
          <w:highlight w:val="none"/>
        </w:rPr>
        <w:t xml:space="preserve">Given that the current plan of ITU-R WP5D is to finalize the TPR document in February 2026, it is expected 3GPP RAN can continue to discuss IMT-2030 TPRs after 06/25 and provide inputs to ITU until the RAN plenary in December 2025. </w:t>
      </w:r>
    </w:p>
    <w:p>
      <w:pPr>
        <w:keepNext w:val="0"/>
        <w:keepLines w:val="0"/>
        <w:pageBreakBefore w:val="0"/>
        <w:widowControl/>
        <w:numPr>
          <w:ilvl w:val="0"/>
          <w:numId w:val="14"/>
        </w:numPr>
        <w:kinsoku/>
        <w:wordWrap/>
        <w:topLinePunct w:val="0"/>
        <w:bidi w:val="0"/>
        <w:snapToGrid w:val="0"/>
        <w:spacing w:before="181" w:beforeLines="50" w:after="120" w:line="240" w:lineRule="auto"/>
        <w:jc w:val="both"/>
        <w:rPr>
          <w:rFonts w:eastAsiaTheme="minorEastAsia"/>
          <w:b w:val="0"/>
          <w:bCs w:val="0"/>
          <w:i/>
        </w:rPr>
      </w:pPr>
      <w:r>
        <w:rPr>
          <w:rFonts w:eastAsiaTheme="minorEastAsia"/>
          <w:b w:val="0"/>
          <w:bCs w:val="0"/>
          <w:i/>
        </w:rPr>
        <w:t>Deployment scenarios and 3GPP requirements (not in the ITU scope) for the identified scenarios</w:t>
      </w:r>
    </w:p>
    <w:p>
      <w:pPr>
        <w:keepNext w:val="0"/>
        <w:keepLines w:val="0"/>
        <w:pageBreakBefore w:val="0"/>
        <w:widowControl/>
        <w:numPr>
          <w:ilvl w:val="0"/>
          <w:numId w:val="14"/>
        </w:numPr>
        <w:kinsoku/>
        <w:wordWrap/>
        <w:topLinePunct w:val="0"/>
        <w:bidi w:val="0"/>
        <w:snapToGrid w:val="0"/>
        <w:spacing w:before="181" w:beforeLines="50" w:after="181" w:afterLines="50" w:line="240" w:lineRule="auto"/>
        <w:jc w:val="both"/>
        <w:rPr>
          <w:rFonts w:eastAsiaTheme="minorEastAsia"/>
          <w:b w:val="0"/>
          <w:bCs w:val="0"/>
          <w:i/>
        </w:rPr>
      </w:pPr>
      <w:r>
        <w:rPr>
          <w:rFonts w:eastAsiaTheme="minorEastAsia"/>
          <w:b w:val="0"/>
          <w:bCs w:val="0"/>
          <w:i/>
        </w:rPr>
        <w:t>One external TR (same as the TR from SI on ITU-IMT2030) is sufficient</w:t>
      </w:r>
    </w:p>
    <w:p>
      <w:pPr>
        <w:keepLines w:val="0"/>
        <w:pageBreakBefore w:val="0"/>
        <w:widowControl w:val="0"/>
        <w:kinsoku/>
        <w:wordWrap/>
        <w:topLinePunct w:val="0"/>
        <w:bidi w:val="0"/>
        <w:snapToGrid w:val="0"/>
        <w:spacing w:before="120" w:afterLines="50" w:line="300" w:lineRule="auto"/>
        <w:jc w:val="both"/>
        <w:rPr>
          <w:rFonts w:eastAsia="微软雅黑"/>
          <w:szCs w:val="20"/>
          <w:highlight w:val="yellow"/>
        </w:rPr>
      </w:pPr>
    </w:p>
    <w:p>
      <w:pPr>
        <w:keepNext w:val="0"/>
        <w:keepLines w:val="0"/>
        <w:pageBreakBefore w:val="0"/>
        <w:widowControl/>
        <w:kinsoku/>
        <w:wordWrap/>
        <w:topLinePunct w:val="0"/>
        <w:bidi w:val="0"/>
        <w:snapToGrid w:val="0"/>
        <w:spacing w:before="120" w:after="120" w:line="240" w:lineRule="auto"/>
        <w:jc w:val="both"/>
        <w:rPr>
          <w:rFonts w:hint="eastAsia" w:eastAsiaTheme="minorEastAsia"/>
          <w:b/>
          <w:i/>
        </w:rPr>
      </w:pPr>
      <w:r>
        <w:rPr>
          <w:b/>
          <w:i/>
        </w:rPr>
        <w:t xml:space="preserve">Proposal </w:t>
      </w:r>
      <w:r>
        <w:rPr>
          <w:rFonts w:eastAsiaTheme="minorEastAsia"/>
          <w:b/>
          <w:i/>
        </w:rPr>
        <w:t>2</w:t>
      </w:r>
      <w:r>
        <w:rPr>
          <w:rFonts w:hint="eastAsia"/>
          <w:b/>
          <w:i/>
        </w:rPr>
        <w:t>:</w:t>
      </w:r>
      <w:r>
        <w:rPr>
          <w:rFonts w:hint="eastAsia" w:eastAsia="宋体"/>
          <w:b/>
          <w:i/>
          <w:lang w:val="en-US" w:eastAsia="zh-CN"/>
        </w:rPr>
        <w:t xml:space="preserve"> </w:t>
      </w:r>
      <w:r>
        <w:rPr>
          <w:rFonts w:hint="eastAsia" w:eastAsiaTheme="minorEastAsia"/>
          <w:b w:val="0"/>
          <w:bCs/>
          <w:i/>
        </w:rPr>
        <w:t>No discussion is need</w:t>
      </w:r>
      <w:r>
        <w:rPr>
          <w:rFonts w:hint="eastAsia" w:eastAsiaTheme="minorEastAsia"/>
          <w:b w:val="0"/>
          <w:bCs/>
          <w:i/>
          <w:lang w:val="en-US" w:eastAsia="zh-CN"/>
        </w:rPr>
        <w:t>ed</w:t>
      </w:r>
      <w:r>
        <w:rPr>
          <w:rFonts w:hint="eastAsia" w:eastAsiaTheme="minorEastAsia"/>
          <w:b w:val="0"/>
          <w:bCs/>
          <w:i/>
        </w:rPr>
        <w:t xml:space="preserve"> on any reply to ITU-R WP5D LS </w:t>
      </w:r>
      <w:r>
        <w:rPr>
          <w:rFonts w:hint="eastAsia" w:eastAsiaTheme="minorEastAsia"/>
          <w:b w:val="0"/>
          <w:bCs/>
          <w:i/>
          <w:lang w:val="en-US" w:eastAsia="zh-CN"/>
        </w:rPr>
        <w:t xml:space="preserve">in this </w:t>
      </w:r>
      <w:r>
        <w:rPr>
          <w:rFonts w:hint="eastAsia" w:eastAsiaTheme="minorEastAsia"/>
          <w:b w:val="0"/>
          <w:bCs/>
          <w:i/>
        </w:rPr>
        <w:t>meeting</w:t>
      </w:r>
    </w:p>
    <w:p>
      <w:pPr>
        <w:pStyle w:val="111"/>
        <w:numPr>
          <w:ilvl w:val="0"/>
          <w:numId w:val="15"/>
        </w:numPr>
        <w:snapToGrid w:val="0"/>
        <w:spacing w:before="120" w:after="120" w:line="240" w:lineRule="auto"/>
        <w:ind w:firstLineChars="0"/>
        <w:jc w:val="both"/>
        <w:rPr>
          <w:rFonts w:eastAsiaTheme="minorEastAsia"/>
          <w:i/>
        </w:rPr>
      </w:pPr>
      <w:r>
        <w:rPr>
          <w:rFonts w:hint="eastAsia" w:eastAsiaTheme="minorEastAsia"/>
          <w:i/>
        </w:rPr>
        <w:t>The discussion on reply LS to ITU-R WP5D should begin after stable outcome from study item on IMT 2030 is available.</w:t>
      </w:r>
    </w:p>
    <w:p>
      <w:pPr>
        <w:keepNext w:val="0"/>
        <w:keepLines w:val="0"/>
        <w:pageBreakBefore w:val="0"/>
        <w:widowControl/>
        <w:kinsoku/>
        <w:wordWrap/>
        <w:overflowPunct/>
        <w:topLinePunct w:val="0"/>
        <w:autoSpaceDE/>
        <w:autoSpaceDN/>
        <w:bidi w:val="0"/>
        <w:adjustRightInd/>
        <w:snapToGrid w:val="0"/>
        <w:spacing w:before="120" w:after="120" w:line="240" w:lineRule="auto"/>
        <w:textAlignment w:val="auto"/>
        <w:rPr>
          <w:b/>
          <w:i/>
        </w:rPr>
      </w:pPr>
    </w:p>
    <w:p>
      <w:pPr>
        <w:keepNext w:val="0"/>
        <w:keepLines w:val="0"/>
        <w:pageBreakBefore w:val="0"/>
        <w:widowControl/>
        <w:kinsoku/>
        <w:wordWrap/>
        <w:overflowPunct/>
        <w:topLinePunct w:val="0"/>
        <w:autoSpaceDE/>
        <w:autoSpaceDN/>
        <w:bidi w:val="0"/>
        <w:adjustRightInd/>
        <w:snapToGrid w:val="0"/>
        <w:spacing w:before="120" w:after="120" w:line="240" w:lineRule="auto"/>
        <w:textAlignment w:val="auto"/>
        <w:rPr>
          <w:rFonts w:hint="eastAsia" w:eastAsiaTheme="minorEastAsia"/>
          <w:i/>
        </w:rPr>
      </w:pPr>
      <w:r>
        <w:rPr>
          <w:b/>
          <w:i/>
        </w:rPr>
        <w:t xml:space="preserve">Proposal </w:t>
      </w:r>
      <w:r>
        <w:rPr>
          <w:rFonts w:hint="eastAsia" w:eastAsiaTheme="minorEastAsia"/>
          <w:b/>
          <w:i/>
        </w:rPr>
        <w:t>3</w:t>
      </w:r>
      <w:r>
        <w:rPr>
          <w:rFonts w:hint="eastAsia"/>
          <w:b/>
          <w:i/>
        </w:rPr>
        <w:t xml:space="preserve">: </w:t>
      </w:r>
      <w:r>
        <w:rPr>
          <w:rFonts w:hint="eastAsia" w:eastAsiaTheme="minorEastAsia"/>
          <w:i/>
        </w:rPr>
        <w:t>To ensure sufficient deliverable focusing on ITU IMT-2030, it's suggested to consider categorization based approach and follow different discussion working method for different categorization of TPRs.</w:t>
      </w:r>
    </w:p>
    <w:p>
      <w:pPr>
        <w:keepLines w:val="0"/>
        <w:pageBreakBefore w:val="0"/>
        <w:widowControl w:val="0"/>
        <w:kinsoku/>
        <w:wordWrap/>
        <w:topLinePunct w:val="0"/>
        <w:bidi w:val="0"/>
        <w:snapToGrid w:val="0"/>
        <w:spacing w:before="120" w:afterLines="50" w:line="300" w:lineRule="auto"/>
        <w:jc w:val="both"/>
        <w:rPr>
          <w:rFonts w:eastAsia="微软雅黑"/>
          <w:szCs w:val="20"/>
          <w:highlight w:val="yellow"/>
        </w:rPr>
      </w:pPr>
    </w:p>
    <w:p>
      <w:pPr>
        <w:keepNext/>
        <w:keepLines w:val="0"/>
        <w:pageBreakBefore w:val="0"/>
        <w:widowControl w:val="0"/>
        <w:numPr>
          <w:ilvl w:val="0"/>
          <w:numId w:val="7"/>
        </w:numPr>
        <w:tabs>
          <w:tab w:val="left" w:pos="3686"/>
          <w:tab w:val="left" w:pos="4536"/>
        </w:tabs>
        <w:kinsoku/>
        <w:wordWrap/>
        <w:topLinePunct w:val="0"/>
        <w:autoSpaceDE w:val="0"/>
        <w:autoSpaceDN w:val="0"/>
        <w:bidi w:val="0"/>
        <w:adjustRightInd w:val="0"/>
        <w:snapToGrid w:val="0"/>
        <w:spacing w:beforeLines="5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References</w:t>
      </w:r>
    </w:p>
    <w:p>
      <w:pPr>
        <w:pStyle w:val="111"/>
        <w:keepLines w:val="0"/>
        <w:pageBreakBefore w:val="0"/>
        <w:numPr>
          <w:ilvl w:val="0"/>
          <w:numId w:val="24"/>
        </w:numPr>
        <w:kinsoku/>
        <w:wordWrap/>
        <w:topLinePunct w:val="0"/>
        <w:bidi w:val="0"/>
        <w:snapToGrid w:val="0"/>
        <w:ind w:firstLineChars="0"/>
        <w:rPr>
          <w:bCs/>
          <w:szCs w:val="20"/>
        </w:rPr>
      </w:pPr>
      <w:r>
        <w:rPr>
          <w:rFonts w:eastAsia="宋体"/>
          <w:bCs/>
          <w:szCs w:val="20"/>
        </w:rPr>
        <w:t>RP-240823 Additional Considerations for 6G Timeline Source: TSG Chairs</w:t>
      </w:r>
    </w:p>
    <w:p>
      <w:pPr>
        <w:pStyle w:val="111"/>
        <w:keepLines w:val="0"/>
        <w:pageBreakBefore w:val="0"/>
        <w:numPr>
          <w:ilvl w:val="0"/>
          <w:numId w:val="24"/>
        </w:numPr>
        <w:kinsoku/>
        <w:wordWrap/>
        <w:topLinePunct w:val="0"/>
        <w:bidi w:val="0"/>
        <w:snapToGrid w:val="0"/>
        <w:ind w:firstLineChars="0"/>
        <w:rPr>
          <w:rFonts w:eastAsiaTheme="minorEastAsia"/>
          <w:bCs/>
          <w:szCs w:val="20"/>
        </w:rPr>
      </w:pPr>
      <w:r>
        <w:rPr>
          <w:rFonts w:eastAsiaTheme="minorEastAsia"/>
          <w:bCs/>
          <w:szCs w:val="20"/>
        </w:rPr>
        <w:t>RP-152257 “New Study Item Proposal: Study on Scenarios and Requirements for Next Generation Access Technologies”, CMCC</w:t>
      </w:r>
    </w:p>
    <w:p>
      <w:pPr>
        <w:pStyle w:val="111"/>
        <w:keepLines w:val="0"/>
        <w:pageBreakBefore w:val="0"/>
        <w:numPr>
          <w:ilvl w:val="0"/>
          <w:numId w:val="24"/>
        </w:numPr>
        <w:kinsoku/>
        <w:wordWrap/>
        <w:topLinePunct w:val="0"/>
        <w:bidi w:val="0"/>
        <w:snapToGrid w:val="0"/>
        <w:ind w:firstLineChars="0"/>
        <w:rPr>
          <w:rFonts w:eastAsiaTheme="minorEastAsia"/>
          <w:bCs/>
          <w:szCs w:val="20"/>
        </w:rPr>
      </w:pPr>
      <w:r>
        <w:rPr>
          <w:rFonts w:hint="eastAsia" w:eastAsiaTheme="minorEastAsia"/>
          <w:bCs/>
          <w:szCs w:val="20"/>
        </w:rPr>
        <w:t>RT-240015</w:t>
      </w:r>
      <w:r>
        <w:rPr>
          <w:rFonts w:hint="eastAsia" w:eastAsiaTheme="minorEastAsia"/>
          <w:bCs/>
          <w:szCs w:val="20"/>
          <w:lang w:val="en-US" w:eastAsia="zh-CN"/>
        </w:rPr>
        <w:t xml:space="preserve"> </w:t>
      </w:r>
      <w:r>
        <w:rPr>
          <w:rFonts w:hint="eastAsia" w:eastAsiaTheme="minorEastAsia"/>
          <w:bCs/>
          <w:szCs w:val="20"/>
        </w:rPr>
        <w:t xml:space="preserve">5D/TEMP/167, </w:t>
      </w:r>
      <w:r>
        <w:rPr>
          <w:rFonts w:hint="eastAsia" w:eastAsiaTheme="minorEastAsia"/>
          <w:bCs/>
          <w:color w:val="auto"/>
          <w:sz w:val="21"/>
          <w:szCs w:val="20"/>
          <w:shd w:val="clear" w:color="auto" w:fill="auto"/>
          <w:lang w:val="en-US" w:eastAsia="zh-CN"/>
        </w:rPr>
        <w:t>L</w:t>
      </w:r>
      <w:r>
        <w:rPr>
          <w:rFonts w:ascii="Times New Roman" w:hAnsi="Times New Roman" w:eastAsiaTheme="minorEastAsia"/>
          <w:bCs/>
          <w:color w:val="auto"/>
          <w:sz w:val="21"/>
          <w:szCs w:val="20"/>
          <w:shd w:val="clear" w:color="auto" w:fill="auto"/>
        </w:rPr>
        <w:t>iaison statement to External Organizations - Minimum requirements related to technical performance for IMT-2030 radio interface(s)</w:t>
      </w:r>
      <w:r>
        <w:rPr>
          <w:rFonts w:hint="eastAsia" w:eastAsiaTheme="minorEastAsia"/>
          <w:bCs/>
          <w:szCs w:val="20"/>
        </w:rPr>
        <w:t>,  WP5D</w:t>
      </w:r>
      <w:r>
        <w:rPr>
          <w:rFonts w:eastAsiaTheme="minorEastAsia"/>
          <w:bCs/>
          <w:szCs w:val="20"/>
        </w:rPr>
        <w:t xml:space="preserve"> </w:t>
      </w:r>
    </w:p>
    <w:p>
      <w:pPr>
        <w:keepNext/>
        <w:keepLines w:val="0"/>
        <w:pageBreakBefore w:val="0"/>
        <w:widowControl w:val="0"/>
        <w:tabs>
          <w:tab w:val="left" w:pos="3686"/>
          <w:tab w:val="left" w:pos="4536"/>
        </w:tabs>
        <w:kinsoku/>
        <w:wordWrap/>
        <w:topLinePunct w:val="0"/>
        <w:autoSpaceDE w:val="0"/>
        <w:autoSpaceDN w:val="0"/>
        <w:bidi w:val="0"/>
        <w:adjustRightInd w:val="0"/>
        <w:snapToGrid w:val="0"/>
        <w:spacing w:beforeLines="50" w:afterLines="50" w:line="240" w:lineRule="auto"/>
        <w:ind w:left="431"/>
        <w:textAlignment w:val="baseline"/>
        <w:outlineLvl w:val="0"/>
        <w:rPr>
          <w:rFonts w:eastAsia="Arial Unicode MS"/>
          <w:b/>
          <w:bCs/>
          <w:sz w:val="28"/>
          <w:szCs w:val="28"/>
        </w:rPr>
      </w:pPr>
      <w:r>
        <w:rPr>
          <w:rFonts w:hint="eastAsia" w:eastAsia="Arial Unicode MS"/>
          <w:b/>
          <w:bCs/>
          <w:sz w:val="28"/>
          <w:szCs w:val="28"/>
        </w:rPr>
        <w:t>Appendix</w:t>
      </w:r>
    </w:p>
    <w:p>
      <w:pPr>
        <w:keepLines w:val="0"/>
        <w:pageBreakBefore w:val="0"/>
        <w:kinsoku/>
        <w:wordWrap/>
        <w:topLinePunct w:val="0"/>
        <w:bidi w:val="0"/>
        <w:snapToGrid w:val="0"/>
        <w:rPr>
          <w:rFonts w:eastAsiaTheme="minorEastAsia"/>
        </w:rPr>
      </w:pPr>
    </w:p>
    <w:p>
      <w:pPr>
        <w:pStyle w:val="12"/>
        <w:keepNext/>
        <w:keepLines w:val="0"/>
        <w:pageBreakBefore w:val="0"/>
        <w:widowControl/>
        <w:kinsoku/>
        <w:wordWrap/>
        <w:overflowPunct/>
        <w:topLinePunct w:val="0"/>
        <w:autoSpaceDE/>
        <w:autoSpaceDN/>
        <w:bidi w:val="0"/>
        <w:adjustRightInd/>
        <w:snapToGrid w:val="0"/>
        <w:spacing w:before="120" w:after="0" w:line="240" w:lineRule="auto"/>
        <w:jc w:val="center"/>
        <w:textAlignment w:val="auto"/>
        <w:rPr>
          <w:rFonts w:eastAsiaTheme="minorEastAsia"/>
          <w:lang w:eastAsia="zh-CN"/>
        </w:rPr>
      </w:pPr>
      <w:r>
        <w:t xml:space="preserve">Table.A </w:t>
      </w:r>
      <w:r>
        <w:rPr>
          <w:b w:val="0"/>
          <w:bCs w:val="0"/>
        </w:rPr>
        <w:fldChar w:fldCharType="begin"/>
      </w:r>
      <w:r>
        <w:instrText xml:space="preserve"> SEQ Table.A \* ARABIC </w:instrText>
      </w:r>
      <w:r>
        <w:rPr>
          <w:b w:val="0"/>
          <w:bCs w:val="0"/>
        </w:rPr>
        <w:fldChar w:fldCharType="separate"/>
      </w:r>
      <w:r>
        <w:t>1</w:t>
      </w:r>
      <w:r>
        <w:rPr>
          <w:b w:val="0"/>
          <w:bCs w:val="0"/>
        </w:rPr>
        <w:fldChar w:fldCharType="end"/>
      </w:r>
      <w:r>
        <w:rPr>
          <w:rFonts w:hint="eastAsia" w:eastAsiaTheme="minorEastAsia"/>
          <w:lang w:eastAsia="zh-CN"/>
        </w:rPr>
        <w:t xml:space="preserve"> D</w:t>
      </w:r>
      <w:r>
        <w:rPr>
          <w:rFonts w:hint="eastAsia" w:eastAsiaTheme="minorEastAsia"/>
        </w:rPr>
        <w:t xml:space="preserve">etailed mapping between items and </w:t>
      </w:r>
      <w:r>
        <w:rPr>
          <w:rFonts w:hint="eastAsia" w:eastAsiaTheme="minorEastAsia"/>
          <w:lang w:eastAsia="zh-CN"/>
        </w:rPr>
        <w:t xml:space="preserve">Cat 1 </w:t>
      </w:r>
      <w:r>
        <w:rPr>
          <w:rFonts w:hint="eastAsia" w:eastAsiaTheme="minorEastAsia"/>
        </w:rPr>
        <w:t>umbrella names</w:t>
      </w:r>
    </w:p>
    <w:tbl>
      <w:tblPr>
        <w:tblStyle w:val="23"/>
        <w:tblW w:w="5000" w:type="pct"/>
        <w:tblInd w:w="0" w:type="dxa"/>
        <w:tblLayout w:type="autofit"/>
        <w:tblCellMar>
          <w:top w:w="0" w:type="dxa"/>
          <w:left w:w="0" w:type="dxa"/>
          <w:bottom w:w="0" w:type="dxa"/>
          <w:right w:w="0" w:type="dxa"/>
        </w:tblCellMar>
      </w:tblPr>
      <w:tblGrid>
        <w:gridCol w:w="3024"/>
        <w:gridCol w:w="2853"/>
        <w:gridCol w:w="3503"/>
      </w:tblGrid>
      <w:tr>
        <w:tblPrEx>
          <w:tblCellMar>
            <w:top w:w="0" w:type="dxa"/>
            <w:left w:w="0" w:type="dxa"/>
            <w:bottom w:w="0" w:type="dxa"/>
            <w:right w:w="0" w:type="dxa"/>
          </w:tblCellMar>
        </w:tblPrEx>
        <w:trPr>
          <w:trHeight w:val="984" w:hRule="atLeast"/>
        </w:trPr>
        <w:tc>
          <w:tcPr>
            <w:tcW w:w="1612"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b/>
                <w:bCs/>
              </w:rPr>
              <w:t>Categorization</w:t>
            </w:r>
          </w:p>
        </w:tc>
        <w:tc>
          <w:tcPr>
            <w:tcW w:w="1521"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b/>
                <w:bCs/>
              </w:rPr>
              <w:t xml:space="preserve">Capabilities in M.2160 </w:t>
            </w:r>
          </w:p>
        </w:tc>
        <w:tc>
          <w:tcPr>
            <w:tcW w:w="186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b/>
                <w:bCs/>
              </w:rPr>
              <w:t>TPR in M.2410</w:t>
            </w:r>
          </w:p>
        </w:tc>
      </w:tr>
      <w:tr>
        <w:tblPrEx>
          <w:tblCellMar>
            <w:top w:w="0" w:type="dxa"/>
            <w:left w:w="0" w:type="dxa"/>
            <w:bottom w:w="0" w:type="dxa"/>
            <w:right w:w="0" w:type="dxa"/>
          </w:tblCellMar>
        </w:tblPrEx>
        <w:trPr>
          <w:trHeight w:val="347" w:hRule="atLeast"/>
        </w:trPr>
        <w:tc>
          <w:tcPr>
            <w:tcW w:w="1612" w:type="pct"/>
            <w:vMerge w:val="restar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Capacity</w:t>
            </w:r>
          </w:p>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(eMBB - &gt; IC)</w:t>
            </w:r>
          </w:p>
        </w:tc>
        <w:tc>
          <w:tcPr>
            <w:tcW w:w="1521" w:type="pct"/>
            <w:vMerge w:val="restar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Peak data rate </w:t>
            </w:r>
          </w:p>
        </w:tc>
        <w:tc>
          <w:tcPr>
            <w:tcW w:w="186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peak data rate</w:t>
            </w:r>
          </w:p>
        </w:tc>
      </w:tr>
      <w:tr>
        <w:tblPrEx>
          <w:tblCellMar>
            <w:top w:w="0" w:type="dxa"/>
            <w:left w:w="0" w:type="dxa"/>
            <w:bottom w:w="0" w:type="dxa"/>
            <w:right w:w="0" w:type="dxa"/>
          </w:tblCellMar>
        </w:tblPrEx>
        <w:trPr>
          <w:trHeight w:val="347" w:hRule="atLeast"/>
        </w:trPr>
        <w:tc>
          <w:tcPr>
            <w:tcW w:w="161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p>
        </w:tc>
        <w:tc>
          <w:tcPr>
            <w:tcW w:w="15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p>
        </w:tc>
        <w:tc>
          <w:tcPr>
            <w:tcW w:w="186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peak spectral efficiency </w:t>
            </w:r>
          </w:p>
        </w:tc>
      </w:tr>
      <w:tr>
        <w:tblPrEx>
          <w:tblCellMar>
            <w:top w:w="0" w:type="dxa"/>
            <w:left w:w="0" w:type="dxa"/>
            <w:bottom w:w="0" w:type="dxa"/>
            <w:right w:w="0" w:type="dxa"/>
          </w:tblCellMar>
        </w:tblPrEx>
        <w:trPr>
          <w:trHeight w:val="750" w:hRule="atLeast"/>
        </w:trPr>
        <w:tc>
          <w:tcPr>
            <w:tcW w:w="161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p>
        </w:tc>
        <w:tc>
          <w:tcPr>
            <w:tcW w:w="1521"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User experienced data rate</w:t>
            </w:r>
          </w:p>
        </w:tc>
        <w:tc>
          <w:tcPr>
            <w:tcW w:w="186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User experienced data rate </w:t>
            </w:r>
          </w:p>
        </w:tc>
      </w:tr>
      <w:tr>
        <w:tblPrEx>
          <w:tblCellMar>
            <w:top w:w="0" w:type="dxa"/>
            <w:left w:w="0" w:type="dxa"/>
            <w:bottom w:w="0" w:type="dxa"/>
            <w:right w:w="0" w:type="dxa"/>
          </w:tblCellMar>
        </w:tblPrEx>
        <w:trPr>
          <w:trHeight w:val="347" w:hRule="atLeast"/>
        </w:trPr>
        <w:tc>
          <w:tcPr>
            <w:tcW w:w="161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p>
        </w:tc>
        <w:tc>
          <w:tcPr>
            <w:tcW w:w="1521" w:type="pct"/>
            <w:vMerge w:val="restar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Spectrum efficiency</w:t>
            </w:r>
          </w:p>
        </w:tc>
        <w:tc>
          <w:tcPr>
            <w:tcW w:w="186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5th percentile spectral efficiency</w:t>
            </w:r>
          </w:p>
        </w:tc>
      </w:tr>
      <w:tr>
        <w:tblPrEx>
          <w:tblCellMar>
            <w:top w:w="0" w:type="dxa"/>
            <w:left w:w="0" w:type="dxa"/>
            <w:bottom w:w="0" w:type="dxa"/>
            <w:right w:w="0" w:type="dxa"/>
          </w:tblCellMar>
        </w:tblPrEx>
        <w:trPr>
          <w:trHeight w:val="347" w:hRule="atLeast"/>
        </w:trPr>
        <w:tc>
          <w:tcPr>
            <w:tcW w:w="161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p>
        </w:tc>
        <w:tc>
          <w:tcPr>
            <w:tcW w:w="15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p>
        </w:tc>
        <w:tc>
          <w:tcPr>
            <w:tcW w:w="186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Average spectral efficiency </w:t>
            </w:r>
          </w:p>
        </w:tc>
      </w:tr>
      <w:tr>
        <w:tblPrEx>
          <w:tblCellMar>
            <w:top w:w="0" w:type="dxa"/>
            <w:left w:w="0" w:type="dxa"/>
            <w:bottom w:w="0" w:type="dxa"/>
            <w:right w:w="0" w:type="dxa"/>
          </w:tblCellMar>
        </w:tblPrEx>
        <w:trPr>
          <w:trHeight w:val="459" w:hRule="atLeast"/>
        </w:trPr>
        <w:tc>
          <w:tcPr>
            <w:tcW w:w="161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p>
        </w:tc>
        <w:tc>
          <w:tcPr>
            <w:tcW w:w="1521"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Area traffic capacity </w:t>
            </w:r>
          </w:p>
        </w:tc>
        <w:tc>
          <w:tcPr>
            <w:tcW w:w="186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Area traffic capacity </w:t>
            </w:r>
          </w:p>
        </w:tc>
      </w:tr>
      <w:tr>
        <w:tblPrEx>
          <w:tblCellMar>
            <w:top w:w="0" w:type="dxa"/>
            <w:left w:w="0" w:type="dxa"/>
            <w:bottom w:w="0" w:type="dxa"/>
            <w:right w:w="0" w:type="dxa"/>
          </w:tblCellMar>
        </w:tblPrEx>
        <w:trPr>
          <w:trHeight w:val="776" w:hRule="atLeast"/>
        </w:trPr>
        <w:tc>
          <w:tcPr>
            <w:tcW w:w="1612"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Connection density</w:t>
            </w:r>
          </w:p>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(mMTC - &gt; MC)</w:t>
            </w:r>
          </w:p>
        </w:tc>
        <w:tc>
          <w:tcPr>
            <w:tcW w:w="1521"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Connection density</w:t>
            </w:r>
          </w:p>
        </w:tc>
        <w:tc>
          <w:tcPr>
            <w:tcW w:w="186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Connection density </w:t>
            </w:r>
          </w:p>
        </w:tc>
      </w:tr>
      <w:tr>
        <w:tblPrEx>
          <w:tblCellMar>
            <w:top w:w="0" w:type="dxa"/>
            <w:left w:w="0" w:type="dxa"/>
            <w:bottom w:w="0" w:type="dxa"/>
            <w:right w:w="0" w:type="dxa"/>
          </w:tblCellMar>
        </w:tblPrEx>
        <w:trPr>
          <w:trHeight w:val="753" w:hRule="atLeast"/>
        </w:trPr>
        <w:tc>
          <w:tcPr>
            <w:tcW w:w="1612"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SE in Mobility </w:t>
            </w:r>
          </w:p>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(eMBB -&gt; IC)</w:t>
            </w:r>
          </w:p>
        </w:tc>
        <w:tc>
          <w:tcPr>
            <w:tcW w:w="1521"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Mobility</w:t>
            </w:r>
          </w:p>
        </w:tc>
        <w:tc>
          <w:tcPr>
            <w:tcW w:w="186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Mobility </w:t>
            </w:r>
          </w:p>
        </w:tc>
      </w:tr>
      <w:tr>
        <w:tblPrEx>
          <w:tblCellMar>
            <w:top w:w="0" w:type="dxa"/>
            <w:left w:w="0" w:type="dxa"/>
            <w:bottom w:w="0" w:type="dxa"/>
            <w:right w:w="0" w:type="dxa"/>
          </w:tblCellMar>
        </w:tblPrEx>
        <w:trPr>
          <w:trHeight w:val="347" w:hRule="atLeast"/>
        </w:trPr>
        <w:tc>
          <w:tcPr>
            <w:tcW w:w="1612" w:type="pct"/>
            <w:vMerge w:val="restar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Access and/or Transmission</w:t>
            </w:r>
          </w:p>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(uRLLC -&gt; hRLLC)</w:t>
            </w:r>
          </w:p>
        </w:tc>
        <w:tc>
          <w:tcPr>
            <w:tcW w:w="1521" w:type="pct"/>
            <w:vMerge w:val="restar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Latency</w:t>
            </w:r>
          </w:p>
        </w:tc>
        <w:tc>
          <w:tcPr>
            <w:tcW w:w="186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User plane latency</w:t>
            </w:r>
          </w:p>
        </w:tc>
      </w:tr>
      <w:tr>
        <w:tblPrEx>
          <w:tblCellMar>
            <w:top w:w="0" w:type="dxa"/>
            <w:left w:w="0" w:type="dxa"/>
            <w:bottom w:w="0" w:type="dxa"/>
            <w:right w:w="0" w:type="dxa"/>
          </w:tblCellMar>
        </w:tblPrEx>
        <w:trPr>
          <w:trHeight w:val="347" w:hRule="atLeast"/>
        </w:trPr>
        <w:tc>
          <w:tcPr>
            <w:tcW w:w="161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p>
        </w:tc>
        <w:tc>
          <w:tcPr>
            <w:tcW w:w="15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p>
        </w:tc>
        <w:tc>
          <w:tcPr>
            <w:tcW w:w="186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Control plane latency </w:t>
            </w:r>
          </w:p>
        </w:tc>
      </w:tr>
      <w:tr>
        <w:tblPrEx>
          <w:tblCellMar>
            <w:top w:w="0" w:type="dxa"/>
            <w:left w:w="0" w:type="dxa"/>
            <w:bottom w:w="0" w:type="dxa"/>
            <w:right w:w="0" w:type="dxa"/>
          </w:tblCellMar>
        </w:tblPrEx>
        <w:trPr>
          <w:trHeight w:val="1181" w:hRule="atLeast"/>
        </w:trPr>
        <w:tc>
          <w:tcPr>
            <w:tcW w:w="161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p>
        </w:tc>
        <w:tc>
          <w:tcPr>
            <w:tcW w:w="1521"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Reliability</w:t>
            </w:r>
          </w:p>
        </w:tc>
        <w:tc>
          <w:tcPr>
            <w:tcW w:w="186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Reliability</w:t>
            </w:r>
          </w:p>
        </w:tc>
      </w:tr>
      <w:tr>
        <w:tblPrEx>
          <w:tblCellMar>
            <w:top w:w="0" w:type="dxa"/>
            <w:left w:w="0" w:type="dxa"/>
            <w:bottom w:w="0" w:type="dxa"/>
            <w:right w:w="0" w:type="dxa"/>
          </w:tblCellMar>
        </w:tblPrEx>
        <w:trPr>
          <w:trHeight w:val="1181" w:hRule="atLeast"/>
        </w:trPr>
        <w:tc>
          <w:tcPr>
            <w:tcW w:w="1612"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Energy Efficiency </w:t>
            </w:r>
          </w:p>
        </w:tc>
        <w:tc>
          <w:tcPr>
            <w:tcW w:w="1521"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Sustainability</w:t>
            </w:r>
          </w:p>
        </w:tc>
        <w:tc>
          <w:tcPr>
            <w:tcW w:w="186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Energy Efficiency</w:t>
            </w:r>
          </w:p>
        </w:tc>
      </w:tr>
    </w:tbl>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p>
    <w:p>
      <w:pPr>
        <w:pStyle w:val="12"/>
        <w:keepNext/>
        <w:keepLines w:val="0"/>
        <w:pageBreakBefore w:val="0"/>
        <w:widowControl/>
        <w:kinsoku/>
        <w:wordWrap/>
        <w:overflowPunct/>
        <w:topLinePunct w:val="0"/>
        <w:autoSpaceDE/>
        <w:autoSpaceDN/>
        <w:bidi w:val="0"/>
        <w:adjustRightInd/>
        <w:snapToGrid w:val="0"/>
        <w:spacing w:before="120" w:after="0" w:line="240" w:lineRule="auto"/>
        <w:jc w:val="center"/>
        <w:textAlignment w:val="auto"/>
        <w:rPr>
          <w:rFonts w:eastAsiaTheme="minorEastAsia"/>
          <w:lang w:eastAsia="zh-CN"/>
        </w:rPr>
      </w:pPr>
      <w:r>
        <w:t xml:space="preserve">Table.A </w:t>
      </w:r>
      <w:r>
        <w:rPr>
          <w:b w:val="0"/>
          <w:bCs w:val="0"/>
        </w:rPr>
        <w:fldChar w:fldCharType="begin"/>
      </w:r>
      <w:r>
        <w:instrText xml:space="preserve"> SEQ Table.A \* ARABIC </w:instrText>
      </w:r>
      <w:r>
        <w:rPr>
          <w:b w:val="0"/>
          <w:bCs w:val="0"/>
        </w:rPr>
        <w:fldChar w:fldCharType="separate"/>
      </w:r>
      <w:r>
        <w:t>2</w:t>
      </w:r>
      <w:r>
        <w:rPr>
          <w:b w:val="0"/>
          <w:bCs w:val="0"/>
        </w:rPr>
        <w:fldChar w:fldCharType="end"/>
      </w:r>
      <w:r>
        <w:rPr>
          <w:rFonts w:hint="eastAsia" w:eastAsiaTheme="minorEastAsia"/>
          <w:lang w:eastAsia="zh-CN"/>
        </w:rPr>
        <w:t xml:space="preserve"> D</w:t>
      </w:r>
      <w:r>
        <w:rPr>
          <w:rFonts w:hint="eastAsia" w:eastAsiaTheme="minorEastAsia"/>
        </w:rPr>
        <w:t xml:space="preserve">etailed mapping between items and </w:t>
      </w:r>
      <w:r>
        <w:rPr>
          <w:rFonts w:hint="eastAsia" w:eastAsiaTheme="minorEastAsia"/>
          <w:lang w:eastAsia="zh-CN"/>
        </w:rPr>
        <w:t xml:space="preserve">Cat.2 </w:t>
      </w:r>
      <w:r>
        <w:rPr>
          <w:rFonts w:hint="eastAsia" w:eastAsiaTheme="minorEastAsia"/>
        </w:rPr>
        <w:t>umbrella names</w:t>
      </w:r>
    </w:p>
    <w:tbl>
      <w:tblPr>
        <w:tblStyle w:val="23"/>
        <w:tblW w:w="5000" w:type="pct"/>
        <w:tblInd w:w="0" w:type="dxa"/>
        <w:tblLayout w:type="autofit"/>
        <w:tblCellMar>
          <w:top w:w="0" w:type="dxa"/>
          <w:left w:w="0" w:type="dxa"/>
          <w:bottom w:w="0" w:type="dxa"/>
          <w:right w:w="0" w:type="dxa"/>
        </w:tblCellMar>
      </w:tblPr>
      <w:tblGrid>
        <w:gridCol w:w="2335"/>
        <w:gridCol w:w="2071"/>
        <w:gridCol w:w="2336"/>
        <w:gridCol w:w="2638"/>
      </w:tblGrid>
      <w:tr>
        <w:tblPrEx>
          <w:tblCellMar>
            <w:top w:w="0" w:type="dxa"/>
            <w:left w:w="0" w:type="dxa"/>
            <w:bottom w:w="0" w:type="dxa"/>
            <w:right w:w="0" w:type="dxa"/>
          </w:tblCellMar>
        </w:tblPrEx>
        <w:trPr>
          <w:trHeight w:val="1755" w:hRule="atLeast"/>
        </w:trPr>
        <w:tc>
          <w:tcPr>
            <w:tcW w:w="1245"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b/>
              </w:rPr>
            </w:pPr>
            <w:r>
              <w:rPr>
                <w:rFonts w:eastAsiaTheme="minorEastAsia"/>
                <w:b/>
                <w:bCs/>
              </w:rPr>
              <w:t xml:space="preserve">Categorization </w:t>
            </w:r>
          </w:p>
        </w:tc>
        <w:tc>
          <w:tcPr>
            <w:tcW w:w="1104"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b/>
              </w:rPr>
            </w:pPr>
            <w:r>
              <w:rPr>
                <w:rFonts w:eastAsiaTheme="minorEastAsia"/>
                <w:b/>
                <w:bCs/>
              </w:rPr>
              <w:t xml:space="preserve">Capabilities in M.2160 </w:t>
            </w:r>
          </w:p>
        </w:tc>
        <w:tc>
          <w:tcPr>
            <w:tcW w:w="1245"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b/>
              </w:rPr>
            </w:pPr>
            <w:r>
              <w:rPr>
                <w:rFonts w:eastAsiaTheme="minorEastAsia"/>
                <w:b/>
                <w:bCs/>
              </w:rPr>
              <w:t>TPR in M.2410</w:t>
            </w:r>
          </w:p>
        </w:tc>
        <w:tc>
          <w:tcPr>
            <w:tcW w:w="140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b/>
              </w:rPr>
            </w:pPr>
            <w:r>
              <w:rPr>
                <w:rFonts w:eastAsiaTheme="minorEastAsia"/>
                <w:b/>
                <w:bCs/>
              </w:rPr>
              <w:t xml:space="preserve">Evaluation in 3GPP </w:t>
            </w:r>
          </w:p>
        </w:tc>
      </w:tr>
      <w:tr>
        <w:tblPrEx>
          <w:tblCellMar>
            <w:top w:w="0" w:type="dxa"/>
            <w:left w:w="0" w:type="dxa"/>
            <w:bottom w:w="0" w:type="dxa"/>
            <w:right w:w="0" w:type="dxa"/>
          </w:tblCellMar>
        </w:tblPrEx>
        <w:trPr>
          <w:trHeight w:val="680" w:hRule="atLeast"/>
        </w:trPr>
        <w:tc>
          <w:tcPr>
            <w:tcW w:w="1245"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Bandwidth (Scalability) </w:t>
            </w:r>
          </w:p>
        </w:tc>
        <w:tc>
          <w:tcPr>
            <w:tcW w:w="1104"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NA </w:t>
            </w:r>
          </w:p>
        </w:tc>
        <w:tc>
          <w:tcPr>
            <w:tcW w:w="1245"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Bandwidth </w:t>
            </w:r>
          </w:p>
        </w:tc>
        <w:tc>
          <w:tcPr>
            <w:tcW w:w="140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Per CC BW/Transmission BW </w:t>
            </w:r>
          </w:p>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TR 37.910 </w:t>
            </w:r>
          </w:p>
        </w:tc>
      </w:tr>
      <w:tr>
        <w:tblPrEx>
          <w:tblCellMar>
            <w:top w:w="0" w:type="dxa"/>
            <w:left w:w="0" w:type="dxa"/>
            <w:bottom w:w="0" w:type="dxa"/>
            <w:right w:w="0" w:type="dxa"/>
          </w:tblCellMar>
        </w:tblPrEx>
        <w:trPr>
          <w:trHeight w:val="680" w:hRule="atLeast"/>
        </w:trPr>
        <w:tc>
          <w:tcPr>
            <w:tcW w:w="1245"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Mobility Interruption Time</w:t>
            </w:r>
          </w:p>
        </w:tc>
        <w:tc>
          <w:tcPr>
            <w:tcW w:w="1104"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NA</w:t>
            </w:r>
          </w:p>
        </w:tc>
        <w:tc>
          <w:tcPr>
            <w:tcW w:w="1245"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Mobility Interruption Time </w:t>
            </w:r>
          </w:p>
        </w:tc>
        <w:tc>
          <w:tcPr>
            <w:tcW w:w="140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Mobility Interruption Time</w:t>
            </w:r>
          </w:p>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TR 37.910</w:t>
            </w:r>
          </w:p>
        </w:tc>
      </w:tr>
    </w:tbl>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p>
    <w:p>
      <w:pPr>
        <w:pStyle w:val="12"/>
        <w:keepNext/>
        <w:keepLines w:val="0"/>
        <w:pageBreakBefore w:val="0"/>
        <w:widowControl/>
        <w:kinsoku/>
        <w:wordWrap/>
        <w:overflowPunct/>
        <w:topLinePunct w:val="0"/>
        <w:autoSpaceDE/>
        <w:autoSpaceDN/>
        <w:bidi w:val="0"/>
        <w:adjustRightInd/>
        <w:snapToGrid w:val="0"/>
        <w:spacing w:before="120" w:after="0" w:line="240" w:lineRule="auto"/>
        <w:jc w:val="center"/>
        <w:textAlignment w:val="auto"/>
        <w:rPr>
          <w:rFonts w:eastAsiaTheme="minorEastAsia"/>
          <w:lang w:eastAsia="zh-CN"/>
        </w:rPr>
      </w:pPr>
      <w:r>
        <w:t xml:space="preserve">Table.A </w:t>
      </w:r>
      <w:r>
        <w:rPr>
          <w:b w:val="0"/>
          <w:bCs w:val="0"/>
        </w:rPr>
        <w:fldChar w:fldCharType="begin"/>
      </w:r>
      <w:r>
        <w:instrText xml:space="preserve"> SEQ Table.A \* ARABIC </w:instrText>
      </w:r>
      <w:r>
        <w:rPr>
          <w:b w:val="0"/>
          <w:bCs w:val="0"/>
        </w:rPr>
        <w:fldChar w:fldCharType="separate"/>
      </w:r>
      <w:r>
        <w:t>3</w:t>
      </w:r>
      <w:r>
        <w:rPr>
          <w:b w:val="0"/>
          <w:bCs w:val="0"/>
        </w:rPr>
        <w:fldChar w:fldCharType="end"/>
      </w:r>
      <w:r>
        <w:rPr>
          <w:rFonts w:hint="eastAsia" w:eastAsiaTheme="minorEastAsia"/>
          <w:lang w:eastAsia="zh-CN"/>
        </w:rPr>
        <w:t xml:space="preserve"> D</w:t>
      </w:r>
      <w:r>
        <w:rPr>
          <w:rFonts w:hint="eastAsia" w:eastAsiaTheme="minorEastAsia"/>
        </w:rPr>
        <w:t xml:space="preserve">etailed mapping between items and </w:t>
      </w:r>
      <w:r>
        <w:rPr>
          <w:rFonts w:hint="eastAsia" w:eastAsiaTheme="minorEastAsia"/>
          <w:lang w:eastAsia="zh-CN"/>
        </w:rPr>
        <w:t xml:space="preserve">Cat.3 </w:t>
      </w:r>
      <w:r>
        <w:rPr>
          <w:rFonts w:hint="eastAsia" w:eastAsiaTheme="minorEastAsia"/>
        </w:rPr>
        <w:t>umbrella names</w:t>
      </w:r>
    </w:p>
    <w:tbl>
      <w:tblPr>
        <w:tblStyle w:val="23"/>
        <w:tblW w:w="5000" w:type="pct"/>
        <w:tblInd w:w="0" w:type="dxa"/>
        <w:tblLayout w:type="autofit"/>
        <w:tblCellMar>
          <w:top w:w="0" w:type="dxa"/>
          <w:left w:w="0" w:type="dxa"/>
          <w:bottom w:w="0" w:type="dxa"/>
          <w:right w:w="0" w:type="dxa"/>
        </w:tblCellMar>
      </w:tblPr>
      <w:tblGrid>
        <w:gridCol w:w="2083"/>
        <w:gridCol w:w="2509"/>
        <w:gridCol w:w="2394"/>
        <w:gridCol w:w="2394"/>
      </w:tblGrid>
      <w:tr>
        <w:tblPrEx>
          <w:tblCellMar>
            <w:top w:w="0" w:type="dxa"/>
            <w:left w:w="0" w:type="dxa"/>
            <w:bottom w:w="0" w:type="dxa"/>
            <w:right w:w="0" w:type="dxa"/>
          </w:tblCellMar>
        </w:tblPrEx>
        <w:trPr>
          <w:trHeight w:val="2570" w:hRule="atLeast"/>
        </w:trPr>
        <w:tc>
          <w:tcPr>
            <w:tcW w:w="1110"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b/>
                <w:bCs/>
              </w:rPr>
              <w:t>Categorization</w:t>
            </w:r>
          </w:p>
        </w:tc>
        <w:tc>
          <w:tcPr>
            <w:tcW w:w="133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b/>
                <w:bCs/>
              </w:rPr>
              <w:t xml:space="preserve">Capabilities in M.2160 </w:t>
            </w:r>
          </w:p>
        </w:tc>
        <w:tc>
          <w:tcPr>
            <w:tcW w:w="127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b/>
                <w:bCs/>
              </w:rPr>
              <w:t>TPR in M.2410</w:t>
            </w:r>
          </w:p>
        </w:tc>
        <w:tc>
          <w:tcPr>
            <w:tcW w:w="127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b/>
                <w:bCs/>
              </w:rPr>
              <w:t xml:space="preserve">Evaluation in 3GPP </w:t>
            </w:r>
          </w:p>
        </w:tc>
      </w:tr>
      <w:tr>
        <w:tblPrEx>
          <w:tblCellMar>
            <w:top w:w="0" w:type="dxa"/>
            <w:left w:w="0" w:type="dxa"/>
            <w:bottom w:w="0" w:type="dxa"/>
            <w:right w:w="0" w:type="dxa"/>
          </w:tblCellMar>
        </w:tblPrEx>
        <w:trPr>
          <w:trHeight w:val="1139" w:hRule="atLeast"/>
        </w:trPr>
        <w:tc>
          <w:tcPr>
            <w:tcW w:w="1110"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Sensing-related capabilities </w:t>
            </w:r>
          </w:p>
        </w:tc>
        <w:tc>
          <w:tcPr>
            <w:tcW w:w="133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Sensing-related capabilities </w:t>
            </w:r>
          </w:p>
        </w:tc>
        <w:tc>
          <w:tcPr>
            <w:tcW w:w="127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NA </w:t>
            </w:r>
          </w:p>
        </w:tc>
        <w:tc>
          <w:tcPr>
            <w:tcW w:w="127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NA </w:t>
            </w:r>
          </w:p>
        </w:tc>
      </w:tr>
      <w:tr>
        <w:tblPrEx>
          <w:tblCellMar>
            <w:top w:w="0" w:type="dxa"/>
            <w:left w:w="0" w:type="dxa"/>
            <w:bottom w:w="0" w:type="dxa"/>
            <w:right w:w="0" w:type="dxa"/>
          </w:tblCellMar>
        </w:tblPrEx>
        <w:trPr>
          <w:trHeight w:val="1139" w:hRule="atLeast"/>
        </w:trPr>
        <w:tc>
          <w:tcPr>
            <w:tcW w:w="1110"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Applicable AI-related capabilities </w:t>
            </w:r>
          </w:p>
        </w:tc>
        <w:tc>
          <w:tcPr>
            <w:tcW w:w="133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Applicable AI-related capabilities </w:t>
            </w:r>
          </w:p>
        </w:tc>
        <w:tc>
          <w:tcPr>
            <w:tcW w:w="127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NA </w:t>
            </w:r>
          </w:p>
        </w:tc>
        <w:tc>
          <w:tcPr>
            <w:tcW w:w="127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NA</w:t>
            </w:r>
          </w:p>
        </w:tc>
      </w:tr>
      <w:tr>
        <w:tblPrEx>
          <w:tblCellMar>
            <w:top w:w="0" w:type="dxa"/>
            <w:left w:w="0" w:type="dxa"/>
            <w:bottom w:w="0" w:type="dxa"/>
            <w:right w:w="0" w:type="dxa"/>
          </w:tblCellMar>
        </w:tblPrEx>
        <w:trPr>
          <w:trHeight w:val="995" w:hRule="atLeast"/>
        </w:trPr>
        <w:tc>
          <w:tcPr>
            <w:tcW w:w="1110"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Interoperability </w:t>
            </w:r>
          </w:p>
        </w:tc>
        <w:tc>
          <w:tcPr>
            <w:tcW w:w="133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Interoperability</w:t>
            </w:r>
          </w:p>
        </w:tc>
        <w:tc>
          <w:tcPr>
            <w:tcW w:w="127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NA </w:t>
            </w:r>
          </w:p>
        </w:tc>
        <w:tc>
          <w:tcPr>
            <w:tcW w:w="127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NA</w:t>
            </w:r>
          </w:p>
        </w:tc>
      </w:tr>
      <w:tr>
        <w:tblPrEx>
          <w:tblCellMar>
            <w:top w:w="0" w:type="dxa"/>
            <w:left w:w="0" w:type="dxa"/>
            <w:bottom w:w="0" w:type="dxa"/>
            <w:right w:w="0" w:type="dxa"/>
          </w:tblCellMar>
        </w:tblPrEx>
        <w:trPr>
          <w:trHeight w:val="1100" w:hRule="atLeast"/>
        </w:trPr>
        <w:tc>
          <w:tcPr>
            <w:tcW w:w="1110"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Security and Resilience </w:t>
            </w:r>
          </w:p>
        </w:tc>
        <w:tc>
          <w:tcPr>
            <w:tcW w:w="1337"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Security and Resilience</w:t>
            </w:r>
          </w:p>
        </w:tc>
        <w:tc>
          <w:tcPr>
            <w:tcW w:w="127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NA </w:t>
            </w:r>
          </w:p>
        </w:tc>
        <w:tc>
          <w:tcPr>
            <w:tcW w:w="127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NA</w:t>
            </w:r>
          </w:p>
        </w:tc>
      </w:tr>
    </w:tbl>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p>
    <w:p>
      <w:pPr>
        <w:pStyle w:val="12"/>
        <w:keepNext/>
        <w:keepLines w:val="0"/>
        <w:pageBreakBefore w:val="0"/>
        <w:widowControl/>
        <w:kinsoku/>
        <w:wordWrap/>
        <w:overflowPunct/>
        <w:topLinePunct w:val="0"/>
        <w:autoSpaceDE/>
        <w:autoSpaceDN/>
        <w:bidi w:val="0"/>
        <w:adjustRightInd/>
        <w:snapToGrid w:val="0"/>
        <w:spacing w:before="120" w:after="0" w:line="240" w:lineRule="auto"/>
        <w:jc w:val="center"/>
        <w:textAlignment w:val="auto"/>
        <w:rPr>
          <w:rFonts w:eastAsiaTheme="minorEastAsia"/>
          <w:lang w:eastAsia="zh-CN"/>
        </w:rPr>
      </w:pPr>
      <w:r>
        <w:t xml:space="preserve">Table.A </w:t>
      </w:r>
      <w:r>
        <w:rPr>
          <w:b w:val="0"/>
          <w:bCs w:val="0"/>
        </w:rPr>
        <w:fldChar w:fldCharType="begin"/>
      </w:r>
      <w:r>
        <w:instrText xml:space="preserve"> SEQ Table.A \* ARABIC </w:instrText>
      </w:r>
      <w:r>
        <w:rPr>
          <w:b w:val="0"/>
          <w:bCs w:val="0"/>
        </w:rPr>
        <w:fldChar w:fldCharType="separate"/>
      </w:r>
      <w:r>
        <w:t>4</w:t>
      </w:r>
      <w:r>
        <w:rPr>
          <w:b w:val="0"/>
          <w:bCs w:val="0"/>
        </w:rPr>
        <w:fldChar w:fldCharType="end"/>
      </w:r>
      <w:r>
        <w:rPr>
          <w:rFonts w:hint="eastAsia" w:eastAsiaTheme="minorEastAsia"/>
          <w:lang w:eastAsia="zh-CN"/>
        </w:rPr>
        <w:t xml:space="preserve"> D</w:t>
      </w:r>
      <w:r>
        <w:rPr>
          <w:rFonts w:hint="eastAsia" w:eastAsiaTheme="minorEastAsia"/>
        </w:rPr>
        <w:t xml:space="preserve">etailed mapping between items and </w:t>
      </w:r>
      <w:r>
        <w:rPr>
          <w:rFonts w:hint="eastAsia" w:eastAsiaTheme="minorEastAsia"/>
          <w:lang w:eastAsia="zh-CN"/>
        </w:rPr>
        <w:t xml:space="preserve">Cat.4 </w:t>
      </w:r>
      <w:r>
        <w:rPr>
          <w:rFonts w:hint="eastAsia" w:eastAsiaTheme="minorEastAsia"/>
        </w:rPr>
        <w:t>umbrella names</w:t>
      </w:r>
    </w:p>
    <w:tbl>
      <w:tblPr>
        <w:tblStyle w:val="23"/>
        <w:tblW w:w="5000" w:type="pct"/>
        <w:tblInd w:w="0" w:type="dxa"/>
        <w:tblLayout w:type="autofit"/>
        <w:tblCellMar>
          <w:top w:w="0" w:type="dxa"/>
          <w:left w:w="0" w:type="dxa"/>
          <w:bottom w:w="0" w:type="dxa"/>
          <w:right w:w="0" w:type="dxa"/>
        </w:tblCellMar>
      </w:tblPr>
      <w:tblGrid>
        <w:gridCol w:w="2335"/>
        <w:gridCol w:w="2071"/>
        <w:gridCol w:w="2336"/>
        <w:gridCol w:w="2638"/>
      </w:tblGrid>
      <w:tr>
        <w:tblPrEx>
          <w:tblCellMar>
            <w:top w:w="0" w:type="dxa"/>
            <w:left w:w="0" w:type="dxa"/>
            <w:bottom w:w="0" w:type="dxa"/>
            <w:right w:w="0" w:type="dxa"/>
          </w:tblCellMar>
        </w:tblPrEx>
        <w:trPr>
          <w:trHeight w:val="680" w:hRule="atLeast"/>
        </w:trPr>
        <w:tc>
          <w:tcPr>
            <w:tcW w:w="1245"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b/>
                <w:bCs/>
              </w:rPr>
            </w:pPr>
            <w:r>
              <w:rPr>
                <w:rFonts w:eastAsiaTheme="minorEastAsia"/>
                <w:b/>
                <w:bCs/>
              </w:rPr>
              <w:t>Categorization</w:t>
            </w:r>
          </w:p>
        </w:tc>
        <w:tc>
          <w:tcPr>
            <w:tcW w:w="1104"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b/>
                <w:bCs/>
              </w:rPr>
            </w:pPr>
            <w:r>
              <w:rPr>
                <w:rFonts w:eastAsiaTheme="minorEastAsia"/>
                <w:b/>
                <w:bCs/>
              </w:rPr>
              <w:t xml:space="preserve">Capabilities in M.2160 </w:t>
            </w:r>
          </w:p>
        </w:tc>
        <w:tc>
          <w:tcPr>
            <w:tcW w:w="1245"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b/>
                <w:bCs/>
              </w:rPr>
            </w:pPr>
            <w:r>
              <w:rPr>
                <w:rFonts w:eastAsiaTheme="minorEastAsia"/>
                <w:b/>
                <w:bCs/>
              </w:rPr>
              <w:t>TPR in M.2410</w:t>
            </w:r>
          </w:p>
        </w:tc>
        <w:tc>
          <w:tcPr>
            <w:tcW w:w="140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b/>
                <w:bCs/>
              </w:rPr>
            </w:pPr>
            <w:r>
              <w:rPr>
                <w:rFonts w:eastAsiaTheme="minorEastAsia"/>
                <w:b/>
                <w:bCs/>
              </w:rPr>
              <w:t xml:space="preserve">Evaluation in 3GPP </w:t>
            </w:r>
          </w:p>
        </w:tc>
      </w:tr>
      <w:tr>
        <w:tblPrEx>
          <w:tblCellMar>
            <w:top w:w="0" w:type="dxa"/>
            <w:left w:w="0" w:type="dxa"/>
            <w:bottom w:w="0" w:type="dxa"/>
            <w:right w:w="0" w:type="dxa"/>
          </w:tblCellMar>
        </w:tblPrEx>
        <w:trPr>
          <w:trHeight w:val="680" w:hRule="atLeast"/>
        </w:trPr>
        <w:tc>
          <w:tcPr>
            <w:tcW w:w="1245"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Coverage </w:t>
            </w:r>
          </w:p>
        </w:tc>
        <w:tc>
          <w:tcPr>
            <w:tcW w:w="1104"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Coverage </w:t>
            </w:r>
          </w:p>
        </w:tc>
        <w:tc>
          <w:tcPr>
            <w:tcW w:w="1245"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NA </w:t>
            </w:r>
          </w:p>
        </w:tc>
        <w:tc>
          <w:tcPr>
            <w:tcW w:w="140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Link Budget (TR 38.830) </w:t>
            </w:r>
          </w:p>
        </w:tc>
      </w:tr>
      <w:tr>
        <w:tblPrEx>
          <w:tblCellMar>
            <w:top w:w="0" w:type="dxa"/>
            <w:left w:w="0" w:type="dxa"/>
            <w:bottom w:w="0" w:type="dxa"/>
            <w:right w:w="0" w:type="dxa"/>
          </w:tblCellMar>
        </w:tblPrEx>
        <w:trPr>
          <w:trHeight w:val="680" w:hRule="atLeast"/>
        </w:trPr>
        <w:tc>
          <w:tcPr>
            <w:tcW w:w="1245"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Positioning </w:t>
            </w:r>
          </w:p>
        </w:tc>
        <w:tc>
          <w:tcPr>
            <w:tcW w:w="1104"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Positioning </w:t>
            </w:r>
          </w:p>
        </w:tc>
        <w:tc>
          <w:tcPr>
            <w:tcW w:w="1245"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NA </w:t>
            </w:r>
          </w:p>
        </w:tc>
        <w:tc>
          <w:tcPr>
            <w:tcW w:w="140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Accuracy (TR 38.855)</w:t>
            </w:r>
          </w:p>
        </w:tc>
      </w:tr>
      <w:tr>
        <w:tblPrEx>
          <w:tblCellMar>
            <w:top w:w="0" w:type="dxa"/>
            <w:left w:w="0" w:type="dxa"/>
            <w:bottom w:w="0" w:type="dxa"/>
            <w:right w:w="0" w:type="dxa"/>
          </w:tblCellMar>
        </w:tblPrEx>
        <w:trPr>
          <w:trHeight w:val="680" w:hRule="atLeast"/>
        </w:trPr>
        <w:tc>
          <w:tcPr>
            <w:tcW w:w="1245"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Sustainability </w:t>
            </w:r>
          </w:p>
        </w:tc>
        <w:tc>
          <w:tcPr>
            <w:tcW w:w="1104"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Sustainability </w:t>
            </w:r>
          </w:p>
        </w:tc>
        <w:tc>
          <w:tcPr>
            <w:tcW w:w="1245"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 xml:space="preserve">NA </w:t>
            </w:r>
          </w:p>
        </w:tc>
        <w:tc>
          <w:tcPr>
            <w:tcW w:w="1406" w:type="pct"/>
            <w:tcBorders>
              <w:top w:val="single" w:color="000000" w:sz="8" w:space="0"/>
              <w:left w:val="single" w:color="000000" w:sz="8" w:space="0"/>
              <w:bottom w:val="single" w:color="000000" w:sz="8" w:space="0"/>
              <w:right w:val="single" w:color="000000" w:sz="8" w:space="0"/>
            </w:tcBorders>
            <w:shd w:val="clear" w:color="auto" w:fill="auto"/>
            <w:tcMar>
              <w:top w:w="6" w:type="dxa"/>
              <w:left w:w="6" w:type="dxa"/>
              <w:bottom w:w="0" w:type="dxa"/>
              <w:right w:w="6" w:type="dxa"/>
            </w:tcMar>
            <w:vAlign w:val="center"/>
          </w:tcPr>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Relative  ESG/PSG w.r.t. baseline</w:t>
            </w:r>
          </w:p>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r>
              <w:rPr>
                <w:rFonts w:eastAsiaTheme="minorEastAsia"/>
              </w:rPr>
              <w:t>TR 38.864, TR 38.840</w:t>
            </w:r>
          </w:p>
        </w:tc>
      </w:tr>
    </w:tbl>
    <w:p>
      <w:pPr>
        <w:keepLines w:val="0"/>
        <w:pageBreakBefore w:val="0"/>
        <w:widowControl/>
        <w:kinsoku/>
        <w:wordWrap/>
        <w:overflowPunct/>
        <w:topLinePunct w:val="0"/>
        <w:autoSpaceDE/>
        <w:autoSpaceDN/>
        <w:bidi w:val="0"/>
        <w:adjustRightInd/>
        <w:snapToGrid w:val="0"/>
        <w:spacing w:before="120" w:after="0" w:line="240" w:lineRule="auto"/>
        <w:textAlignment w:val="auto"/>
        <w:rPr>
          <w:rFonts w:eastAsiaTheme="minorEastAsia"/>
        </w:rPr>
      </w:pPr>
    </w:p>
    <w:sectPr>
      <w:type w:val="continuous"/>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Gulim">
    <w:altName w:val="Malgun Gothic"/>
    <w:panose1 w:val="020B0600000101010101"/>
    <w:charset w:val="81"/>
    <w:family w:val="swiss"/>
    <w:pitch w:val="default"/>
    <w:sig w:usb0="00000000" w:usb1="00000000" w:usb2="00000030" w:usb3="00000000" w:csb0="0008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062BB0"/>
    <w:multiLevelType w:val="multilevel"/>
    <w:tmpl w:val="07062BB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85B2047"/>
    <w:multiLevelType w:val="multilevel"/>
    <w:tmpl w:val="185B204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6">
    <w:nsid w:val="2F9A71AE"/>
    <w:multiLevelType w:val="multilevel"/>
    <w:tmpl w:val="2F9A71AE"/>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37265941"/>
    <w:multiLevelType w:val="multilevel"/>
    <w:tmpl w:val="37265941"/>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39E4110F"/>
    <w:multiLevelType w:val="multilevel"/>
    <w:tmpl w:val="39E4110F"/>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42A32880"/>
    <w:multiLevelType w:val="multilevel"/>
    <w:tmpl w:val="42A3288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50041A8"/>
    <w:multiLevelType w:val="multilevel"/>
    <w:tmpl w:val="450041A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481521E4"/>
    <w:multiLevelType w:val="multilevel"/>
    <w:tmpl w:val="481521E4"/>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2">
    <w:nsid w:val="48B4529B"/>
    <w:multiLevelType w:val="multilevel"/>
    <w:tmpl w:val="48B4529B"/>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3">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4">
    <w:nsid w:val="54185A57"/>
    <w:multiLevelType w:val="multilevel"/>
    <w:tmpl w:val="54185A5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5BD42D97"/>
    <w:multiLevelType w:val="multilevel"/>
    <w:tmpl w:val="5BD42D97"/>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6">
    <w:nsid w:val="5E93823A"/>
    <w:multiLevelType w:val="singleLevel"/>
    <w:tmpl w:val="5E93823A"/>
    <w:lvl w:ilvl="0" w:tentative="0">
      <w:start w:val="1"/>
      <w:numFmt w:val="decimal"/>
      <w:suff w:val="space"/>
      <w:lvlText w:val="[%1]"/>
      <w:lvlJc w:val="left"/>
    </w:lvl>
  </w:abstractNum>
  <w:abstractNum w:abstractNumId="17">
    <w:nsid w:val="6A04D793"/>
    <w:multiLevelType w:val="singleLevel"/>
    <w:tmpl w:val="6A04D793"/>
    <w:lvl w:ilvl="0" w:tentative="0">
      <w:start w:val="1"/>
      <w:numFmt w:val="bullet"/>
      <w:lvlText w:val=""/>
      <w:lvlJc w:val="left"/>
      <w:pPr>
        <w:ind w:left="420" w:hanging="420"/>
      </w:pPr>
      <w:rPr>
        <w:rFonts w:hint="default" w:ascii="Wingdings" w:hAnsi="Wingdings"/>
      </w:rPr>
    </w:lvl>
  </w:abstractNum>
  <w:abstractNum w:abstractNumId="18">
    <w:nsid w:val="6C0722AF"/>
    <w:multiLevelType w:val="multilevel"/>
    <w:tmpl w:val="6C0722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32F298B"/>
    <w:multiLevelType w:val="multilevel"/>
    <w:tmpl w:val="732F298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73E857F2"/>
    <w:multiLevelType w:val="multilevel"/>
    <w:tmpl w:val="73E857F2"/>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A3522DC"/>
    <w:multiLevelType w:val="multilevel"/>
    <w:tmpl w:val="7A3522D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0"/>
  </w:num>
  <w:num w:numId="2">
    <w:abstractNumId w:val="1"/>
  </w:num>
  <w:num w:numId="3">
    <w:abstractNumId w:val="22"/>
  </w:num>
  <w:num w:numId="4">
    <w:abstractNumId w:val="2"/>
  </w:num>
  <w:num w:numId="5">
    <w:abstractNumId w:val="19"/>
  </w:num>
  <w:num w:numId="6">
    <w:abstractNumId w:val="13"/>
  </w:num>
  <w:num w:numId="7">
    <w:abstractNumId w:val="5"/>
  </w:num>
  <w:num w:numId="8">
    <w:abstractNumId w:val="18"/>
  </w:num>
  <w:num w:numId="9">
    <w:abstractNumId w:val="9"/>
  </w:num>
  <w:num w:numId="10">
    <w:abstractNumId w:val="15"/>
  </w:num>
  <w:num w:numId="11">
    <w:abstractNumId w:val="17"/>
  </w:num>
  <w:num w:numId="12">
    <w:abstractNumId w:val="11"/>
  </w:num>
  <w:num w:numId="13">
    <w:abstractNumId w:val="6"/>
  </w:num>
  <w:num w:numId="14">
    <w:abstractNumId w:val="21"/>
  </w:num>
  <w:num w:numId="15">
    <w:abstractNumId w:val="14"/>
  </w:num>
  <w:num w:numId="16">
    <w:abstractNumId w:val="3"/>
  </w:num>
  <w:num w:numId="17">
    <w:abstractNumId w:val="4"/>
  </w:num>
  <w:num w:numId="18">
    <w:abstractNumId w:val="10"/>
  </w:num>
  <w:num w:numId="19">
    <w:abstractNumId w:val="20"/>
  </w:num>
  <w:num w:numId="20">
    <w:abstractNumId w:val="12"/>
  </w:num>
  <w:num w:numId="21">
    <w:abstractNumId w:val="7"/>
  </w:num>
  <w:num w:numId="22">
    <w:abstractNumId w:val="23"/>
  </w:num>
  <w:num w:numId="23">
    <w:abstractNumId w:val="8"/>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6CB"/>
    <w:rsid w:val="00002C54"/>
    <w:rsid w:val="00002EA0"/>
    <w:rsid w:val="00003A61"/>
    <w:rsid w:val="000044E2"/>
    <w:rsid w:val="00004558"/>
    <w:rsid w:val="000049AC"/>
    <w:rsid w:val="00004ED1"/>
    <w:rsid w:val="000051C4"/>
    <w:rsid w:val="0000557C"/>
    <w:rsid w:val="000055D1"/>
    <w:rsid w:val="00005762"/>
    <w:rsid w:val="000057B9"/>
    <w:rsid w:val="00005C91"/>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8AA"/>
    <w:rsid w:val="00010969"/>
    <w:rsid w:val="00010A7B"/>
    <w:rsid w:val="00010AF9"/>
    <w:rsid w:val="00010F90"/>
    <w:rsid w:val="000114F8"/>
    <w:rsid w:val="00011890"/>
    <w:rsid w:val="000118E9"/>
    <w:rsid w:val="00011BB4"/>
    <w:rsid w:val="00011C8C"/>
    <w:rsid w:val="00011CE0"/>
    <w:rsid w:val="000123B6"/>
    <w:rsid w:val="000123C2"/>
    <w:rsid w:val="0001241A"/>
    <w:rsid w:val="000128EC"/>
    <w:rsid w:val="00012E08"/>
    <w:rsid w:val="00012E58"/>
    <w:rsid w:val="00012EC5"/>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AF9"/>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9B1"/>
    <w:rsid w:val="00022C5F"/>
    <w:rsid w:val="00022EDA"/>
    <w:rsid w:val="000232CC"/>
    <w:rsid w:val="00023416"/>
    <w:rsid w:val="00023527"/>
    <w:rsid w:val="000235A2"/>
    <w:rsid w:val="000235FB"/>
    <w:rsid w:val="00023951"/>
    <w:rsid w:val="00023EAB"/>
    <w:rsid w:val="000240BE"/>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3FBF"/>
    <w:rsid w:val="000443DB"/>
    <w:rsid w:val="000444B9"/>
    <w:rsid w:val="000445CC"/>
    <w:rsid w:val="00044C0B"/>
    <w:rsid w:val="00044FF3"/>
    <w:rsid w:val="00045271"/>
    <w:rsid w:val="000454E2"/>
    <w:rsid w:val="000458E6"/>
    <w:rsid w:val="00045BEB"/>
    <w:rsid w:val="00045E51"/>
    <w:rsid w:val="00045F11"/>
    <w:rsid w:val="0004618C"/>
    <w:rsid w:val="00046414"/>
    <w:rsid w:val="00046B6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7C5"/>
    <w:rsid w:val="00053A19"/>
    <w:rsid w:val="00053C96"/>
    <w:rsid w:val="00054550"/>
    <w:rsid w:val="0005463C"/>
    <w:rsid w:val="00054700"/>
    <w:rsid w:val="000549F0"/>
    <w:rsid w:val="00054B6B"/>
    <w:rsid w:val="000554D2"/>
    <w:rsid w:val="00055624"/>
    <w:rsid w:val="000557A3"/>
    <w:rsid w:val="0005594E"/>
    <w:rsid w:val="000559F1"/>
    <w:rsid w:val="00055F68"/>
    <w:rsid w:val="000570B1"/>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6EB"/>
    <w:rsid w:val="0006577F"/>
    <w:rsid w:val="00065AB4"/>
    <w:rsid w:val="00065AC9"/>
    <w:rsid w:val="00065ADE"/>
    <w:rsid w:val="00065B15"/>
    <w:rsid w:val="00065D29"/>
    <w:rsid w:val="00065D58"/>
    <w:rsid w:val="00065FE2"/>
    <w:rsid w:val="000661FA"/>
    <w:rsid w:val="000664D9"/>
    <w:rsid w:val="00066556"/>
    <w:rsid w:val="00066A38"/>
    <w:rsid w:val="00066A7C"/>
    <w:rsid w:val="00066BD9"/>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8B8"/>
    <w:rsid w:val="00082E47"/>
    <w:rsid w:val="00082E4E"/>
    <w:rsid w:val="00083283"/>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754"/>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7D4"/>
    <w:rsid w:val="000A1A8F"/>
    <w:rsid w:val="000A1AB7"/>
    <w:rsid w:val="000A1C41"/>
    <w:rsid w:val="000A1C7B"/>
    <w:rsid w:val="000A1C7D"/>
    <w:rsid w:val="000A1E25"/>
    <w:rsid w:val="000A1E32"/>
    <w:rsid w:val="000A23F3"/>
    <w:rsid w:val="000A2795"/>
    <w:rsid w:val="000A2BC2"/>
    <w:rsid w:val="000A2BF8"/>
    <w:rsid w:val="000A3339"/>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700"/>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427"/>
    <w:rsid w:val="000C45FE"/>
    <w:rsid w:val="000C4972"/>
    <w:rsid w:val="000C4ECD"/>
    <w:rsid w:val="000C577F"/>
    <w:rsid w:val="000C5E7D"/>
    <w:rsid w:val="000C62FC"/>
    <w:rsid w:val="000C64C0"/>
    <w:rsid w:val="000C6C88"/>
    <w:rsid w:val="000C735C"/>
    <w:rsid w:val="000C7443"/>
    <w:rsid w:val="000C7512"/>
    <w:rsid w:val="000C7D1C"/>
    <w:rsid w:val="000D0496"/>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481"/>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2C7"/>
    <w:rsid w:val="000F25D2"/>
    <w:rsid w:val="000F2606"/>
    <w:rsid w:val="000F275D"/>
    <w:rsid w:val="000F2BA8"/>
    <w:rsid w:val="000F374D"/>
    <w:rsid w:val="000F3AB4"/>
    <w:rsid w:val="000F3D9C"/>
    <w:rsid w:val="000F43B9"/>
    <w:rsid w:val="000F4528"/>
    <w:rsid w:val="000F4551"/>
    <w:rsid w:val="000F459C"/>
    <w:rsid w:val="000F48F4"/>
    <w:rsid w:val="000F4AE3"/>
    <w:rsid w:val="000F4E7F"/>
    <w:rsid w:val="000F4FBF"/>
    <w:rsid w:val="000F5672"/>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261"/>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C43"/>
    <w:rsid w:val="0012093B"/>
    <w:rsid w:val="00120B32"/>
    <w:rsid w:val="00120BE8"/>
    <w:rsid w:val="00121100"/>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654"/>
    <w:rsid w:val="00140803"/>
    <w:rsid w:val="00140944"/>
    <w:rsid w:val="00140A5E"/>
    <w:rsid w:val="00140E7D"/>
    <w:rsid w:val="00140FDF"/>
    <w:rsid w:val="00141114"/>
    <w:rsid w:val="001413F3"/>
    <w:rsid w:val="001417C1"/>
    <w:rsid w:val="00141E23"/>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42BB"/>
    <w:rsid w:val="00145117"/>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9B0"/>
    <w:rsid w:val="00150BA3"/>
    <w:rsid w:val="00150D33"/>
    <w:rsid w:val="00150ED9"/>
    <w:rsid w:val="00150EF4"/>
    <w:rsid w:val="001510E2"/>
    <w:rsid w:val="00151163"/>
    <w:rsid w:val="0015138B"/>
    <w:rsid w:val="001514A2"/>
    <w:rsid w:val="00151632"/>
    <w:rsid w:val="00151650"/>
    <w:rsid w:val="0015167F"/>
    <w:rsid w:val="0015173E"/>
    <w:rsid w:val="001518A6"/>
    <w:rsid w:val="00151A8F"/>
    <w:rsid w:val="001522BF"/>
    <w:rsid w:val="001522E9"/>
    <w:rsid w:val="00152345"/>
    <w:rsid w:val="0015267E"/>
    <w:rsid w:val="00152731"/>
    <w:rsid w:val="00153129"/>
    <w:rsid w:val="00153589"/>
    <w:rsid w:val="00153849"/>
    <w:rsid w:val="001538F2"/>
    <w:rsid w:val="0015391E"/>
    <w:rsid w:val="00153922"/>
    <w:rsid w:val="00153CF0"/>
    <w:rsid w:val="0015403C"/>
    <w:rsid w:val="0015441C"/>
    <w:rsid w:val="00154AB2"/>
    <w:rsid w:val="00154CBB"/>
    <w:rsid w:val="00154D2A"/>
    <w:rsid w:val="00154F10"/>
    <w:rsid w:val="001550FC"/>
    <w:rsid w:val="00155171"/>
    <w:rsid w:val="001559A5"/>
    <w:rsid w:val="00155A63"/>
    <w:rsid w:val="00155D81"/>
    <w:rsid w:val="00156081"/>
    <w:rsid w:val="00156172"/>
    <w:rsid w:val="001562B4"/>
    <w:rsid w:val="0015646F"/>
    <w:rsid w:val="001564A2"/>
    <w:rsid w:val="0015652A"/>
    <w:rsid w:val="001569F6"/>
    <w:rsid w:val="00156EA4"/>
    <w:rsid w:val="00156EC1"/>
    <w:rsid w:val="00157512"/>
    <w:rsid w:val="001577E2"/>
    <w:rsid w:val="0015796A"/>
    <w:rsid w:val="00160319"/>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30A"/>
    <w:rsid w:val="0018071A"/>
    <w:rsid w:val="00180C8E"/>
    <w:rsid w:val="001813B0"/>
    <w:rsid w:val="00181632"/>
    <w:rsid w:val="00181961"/>
    <w:rsid w:val="00182172"/>
    <w:rsid w:val="001829F9"/>
    <w:rsid w:val="00182B1F"/>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A7FF3"/>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5B2"/>
    <w:rsid w:val="001B4819"/>
    <w:rsid w:val="001B4B3D"/>
    <w:rsid w:val="001B4C15"/>
    <w:rsid w:val="001B4C67"/>
    <w:rsid w:val="001B5261"/>
    <w:rsid w:val="001B5313"/>
    <w:rsid w:val="001B5402"/>
    <w:rsid w:val="001B5889"/>
    <w:rsid w:val="001B5ADA"/>
    <w:rsid w:val="001B5DB5"/>
    <w:rsid w:val="001B6F5C"/>
    <w:rsid w:val="001B7378"/>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ED7"/>
    <w:rsid w:val="001C22A8"/>
    <w:rsid w:val="001C2707"/>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42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350"/>
    <w:rsid w:val="001E4729"/>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54E"/>
    <w:rsid w:val="001E7671"/>
    <w:rsid w:val="001F0092"/>
    <w:rsid w:val="001F07E5"/>
    <w:rsid w:val="001F099E"/>
    <w:rsid w:val="001F0C69"/>
    <w:rsid w:val="001F0F78"/>
    <w:rsid w:val="001F1023"/>
    <w:rsid w:val="001F1E75"/>
    <w:rsid w:val="001F20D6"/>
    <w:rsid w:val="001F20FE"/>
    <w:rsid w:val="001F261D"/>
    <w:rsid w:val="001F28BB"/>
    <w:rsid w:val="001F28F7"/>
    <w:rsid w:val="001F2B0B"/>
    <w:rsid w:val="001F2C74"/>
    <w:rsid w:val="001F3041"/>
    <w:rsid w:val="001F30B5"/>
    <w:rsid w:val="001F31EA"/>
    <w:rsid w:val="001F3235"/>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A82"/>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422"/>
    <w:rsid w:val="002066D4"/>
    <w:rsid w:val="00207908"/>
    <w:rsid w:val="00207C88"/>
    <w:rsid w:val="00210674"/>
    <w:rsid w:val="002107FA"/>
    <w:rsid w:val="00210C30"/>
    <w:rsid w:val="00210D81"/>
    <w:rsid w:val="00210DE9"/>
    <w:rsid w:val="00211503"/>
    <w:rsid w:val="00211BA9"/>
    <w:rsid w:val="00211D9F"/>
    <w:rsid w:val="002122A5"/>
    <w:rsid w:val="002123C7"/>
    <w:rsid w:val="002124EB"/>
    <w:rsid w:val="00212544"/>
    <w:rsid w:val="0021267F"/>
    <w:rsid w:val="00212783"/>
    <w:rsid w:val="002129CC"/>
    <w:rsid w:val="00212ABB"/>
    <w:rsid w:val="0021300C"/>
    <w:rsid w:val="0021374B"/>
    <w:rsid w:val="00213862"/>
    <w:rsid w:val="00213B96"/>
    <w:rsid w:val="00213E32"/>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5D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0BE9"/>
    <w:rsid w:val="0023174E"/>
    <w:rsid w:val="002318D4"/>
    <w:rsid w:val="00231F98"/>
    <w:rsid w:val="00231FE0"/>
    <w:rsid w:val="0023213B"/>
    <w:rsid w:val="002325D3"/>
    <w:rsid w:val="0023261E"/>
    <w:rsid w:val="00232CC6"/>
    <w:rsid w:val="00232EC6"/>
    <w:rsid w:val="002331E4"/>
    <w:rsid w:val="00233638"/>
    <w:rsid w:val="00233693"/>
    <w:rsid w:val="00233B0D"/>
    <w:rsid w:val="00233C9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4D1F"/>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2D6"/>
    <w:rsid w:val="002575FB"/>
    <w:rsid w:val="00257742"/>
    <w:rsid w:val="00257EF7"/>
    <w:rsid w:val="00257F6E"/>
    <w:rsid w:val="00260094"/>
    <w:rsid w:val="00260C5C"/>
    <w:rsid w:val="00261211"/>
    <w:rsid w:val="002614C2"/>
    <w:rsid w:val="002615E2"/>
    <w:rsid w:val="002616F4"/>
    <w:rsid w:val="00261A7E"/>
    <w:rsid w:val="00261DCD"/>
    <w:rsid w:val="00261E14"/>
    <w:rsid w:val="00261EE8"/>
    <w:rsid w:val="002621F0"/>
    <w:rsid w:val="0026269E"/>
    <w:rsid w:val="00262824"/>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1B5"/>
    <w:rsid w:val="0027031D"/>
    <w:rsid w:val="00270564"/>
    <w:rsid w:val="00270641"/>
    <w:rsid w:val="00270656"/>
    <w:rsid w:val="002708C7"/>
    <w:rsid w:val="00270AE7"/>
    <w:rsid w:val="00270C18"/>
    <w:rsid w:val="00270F02"/>
    <w:rsid w:val="002714A1"/>
    <w:rsid w:val="00271D1E"/>
    <w:rsid w:val="002724A1"/>
    <w:rsid w:val="002725DA"/>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0E3"/>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1EEF"/>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24D"/>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3F8D"/>
    <w:rsid w:val="002B433C"/>
    <w:rsid w:val="002B437A"/>
    <w:rsid w:val="002B453D"/>
    <w:rsid w:val="002B45CE"/>
    <w:rsid w:val="002B490E"/>
    <w:rsid w:val="002B50F5"/>
    <w:rsid w:val="002B51D8"/>
    <w:rsid w:val="002B5274"/>
    <w:rsid w:val="002B547E"/>
    <w:rsid w:val="002B58A5"/>
    <w:rsid w:val="002B59DB"/>
    <w:rsid w:val="002B5A01"/>
    <w:rsid w:val="002B5A58"/>
    <w:rsid w:val="002B5B0C"/>
    <w:rsid w:val="002B5B73"/>
    <w:rsid w:val="002B65EC"/>
    <w:rsid w:val="002B6CD0"/>
    <w:rsid w:val="002B70C2"/>
    <w:rsid w:val="002B7178"/>
    <w:rsid w:val="002B725C"/>
    <w:rsid w:val="002B73C1"/>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6D9"/>
    <w:rsid w:val="002C3B54"/>
    <w:rsid w:val="002C434C"/>
    <w:rsid w:val="002C4471"/>
    <w:rsid w:val="002C4490"/>
    <w:rsid w:val="002C47EF"/>
    <w:rsid w:val="002C4A0A"/>
    <w:rsid w:val="002C50D3"/>
    <w:rsid w:val="002C54A0"/>
    <w:rsid w:val="002C58BF"/>
    <w:rsid w:val="002C6077"/>
    <w:rsid w:val="002C6903"/>
    <w:rsid w:val="002C6B21"/>
    <w:rsid w:val="002C6D19"/>
    <w:rsid w:val="002C705C"/>
    <w:rsid w:val="002C70E1"/>
    <w:rsid w:val="002C72DE"/>
    <w:rsid w:val="002C760C"/>
    <w:rsid w:val="002C7CBE"/>
    <w:rsid w:val="002C7FB4"/>
    <w:rsid w:val="002C7FE3"/>
    <w:rsid w:val="002D0530"/>
    <w:rsid w:val="002D0AA0"/>
    <w:rsid w:val="002D0AD3"/>
    <w:rsid w:val="002D0C01"/>
    <w:rsid w:val="002D0E57"/>
    <w:rsid w:val="002D1421"/>
    <w:rsid w:val="002D15E1"/>
    <w:rsid w:val="002D2261"/>
    <w:rsid w:val="002D230A"/>
    <w:rsid w:val="002D25FB"/>
    <w:rsid w:val="002D2B08"/>
    <w:rsid w:val="002D2CA9"/>
    <w:rsid w:val="002D3188"/>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D0B"/>
    <w:rsid w:val="00300FB1"/>
    <w:rsid w:val="00301060"/>
    <w:rsid w:val="0030181B"/>
    <w:rsid w:val="00301959"/>
    <w:rsid w:val="003019E1"/>
    <w:rsid w:val="00301A6A"/>
    <w:rsid w:val="00301D6D"/>
    <w:rsid w:val="00301EEF"/>
    <w:rsid w:val="003023CA"/>
    <w:rsid w:val="003024D4"/>
    <w:rsid w:val="00302B54"/>
    <w:rsid w:val="00302BF5"/>
    <w:rsid w:val="00302CCC"/>
    <w:rsid w:val="00302D12"/>
    <w:rsid w:val="00302E8F"/>
    <w:rsid w:val="00303681"/>
    <w:rsid w:val="003037AD"/>
    <w:rsid w:val="00303C41"/>
    <w:rsid w:val="00303C7B"/>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662"/>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699"/>
    <w:rsid w:val="00315BE0"/>
    <w:rsid w:val="00315D82"/>
    <w:rsid w:val="00315DAC"/>
    <w:rsid w:val="0031659D"/>
    <w:rsid w:val="00316777"/>
    <w:rsid w:val="003167E8"/>
    <w:rsid w:val="00316A43"/>
    <w:rsid w:val="00316DB5"/>
    <w:rsid w:val="00316EB6"/>
    <w:rsid w:val="0031716E"/>
    <w:rsid w:val="00317B53"/>
    <w:rsid w:val="00320255"/>
    <w:rsid w:val="003203F8"/>
    <w:rsid w:val="00320907"/>
    <w:rsid w:val="00320CF6"/>
    <w:rsid w:val="0032146D"/>
    <w:rsid w:val="00321492"/>
    <w:rsid w:val="003218F9"/>
    <w:rsid w:val="0032221A"/>
    <w:rsid w:val="00322642"/>
    <w:rsid w:val="00322C03"/>
    <w:rsid w:val="00322EB9"/>
    <w:rsid w:val="003230FA"/>
    <w:rsid w:val="00323173"/>
    <w:rsid w:val="003237A4"/>
    <w:rsid w:val="00323910"/>
    <w:rsid w:val="00323BE3"/>
    <w:rsid w:val="00323E61"/>
    <w:rsid w:val="00324109"/>
    <w:rsid w:val="00324AED"/>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2D76"/>
    <w:rsid w:val="0033344C"/>
    <w:rsid w:val="00333A42"/>
    <w:rsid w:val="00333A43"/>
    <w:rsid w:val="00333FB1"/>
    <w:rsid w:val="00334019"/>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DB1"/>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287"/>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304"/>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3F8C"/>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414"/>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20B"/>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ABC"/>
    <w:rsid w:val="00377B07"/>
    <w:rsid w:val="00377B6F"/>
    <w:rsid w:val="00377B7A"/>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335"/>
    <w:rsid w:val="00386983"/>
    <w:rsid w:val="00386AEA"/>
    <w:rsid w:val="00386D65"/>
    <w:rsid w:val="00386D7D"/>
    <w:rsid w:val="00387224"/>
    <w:rsid w:val="00387880"/>
    <w:rsid w:val="003878DD"/>
    <w:rsid w:val="00387C75"/>
    <w:rsid w:val="00390063"/>
    <w:rsid w:val="0039030E"/>
    <w:rsid w:val="00390755"/>
    <w:rsid w:val="00390839"/>
    <w:rsid w:val="00390C25"/>
    <w:rsid w:val="003910E9"/>
    <w:rsid w:val="00391403"/>
    <w:rsid w:val="0039181D"/>
    <w:rsid w:val="0039207D"/>
    <w:rsid w:val="00392626"/>
    <w:rsid w:val="0039269B"/>
    <w:rsid w:val="0039281A"/>
    <w:rsid w:val="00392A93"/>
    <w:rsid w:val="00392AD4"/>
    <w:rsid w:val="00393A89"/>
    <w:rsid w:val="00393ADA"/>
    <w:rsid w:val="00394630"/>
    <w:rsid w:val="00395246"/>
    <w:rsid w:val="003956BA"/>
    <w:rsid w:val="003959B5"/>
    <w:rsid w:val="00395C29"/>
    <w:rsid w:val="00396876"/>
    <w:rsid w:val="003968EC"/>
    <w:rsid w:val="00396CDF"/>
    <w:rsid w:val="003972ED"/>
    <w:rsid w:val="003974C0"/>
    <w:rsid w:val="00397554"/>
    <w:rsid w:val="00397804"/>
    <w:rsid w:val="00397C23"/>
    <w:rsid w:val="003A012F"/>
    <w:rsid w:val="003A0DB2"/>
    <w:rsid w:val="003A1A10"/>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B09"/>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A5D"/>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1A"/>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CD4"/>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5296"/>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847"/>
    <w:rsid w:val="003F2ED5"/>
    <w:rsid w:val="003F33C4"/>
    <w:rsid w:val="003F3839"/>
    <w:rsid w:val="003F38BD"/>
    <w:rsid w:val="003F38F0"/>
    <w:rsid w:val="003F39DF"/>
    <w:rsid w:val="003F3C84"/>
    <w:rsid w:val="003F47FB"/>
    <w:rsid w:val="003F4D4E"/>
    <w:rsid w:val="003F5CCA"/>
    <w:rsid w:val="003F5DC5"/>
    <w:rsid w:val="003F62B4"/>
    <w:rsid w:val="003F65C7"/>
    <w:rsid w:val="003F686E"/>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518"/>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72"/>
    <w:rsid w:val="00415EA3"/>
    <w:rsid w:val="00415F2B"/>
    <w:rsid w:val="00416154"/>
    <w:rsid w:val="00416428"/>
    <w:rsid w:val="004168DB"/>
    <w:rsid w:val="00417102"/>
    <w:rsid w:val="00417139"/>
    <w:rsid w:val="004172D6"/>
    <w:rsid w:val="00417562"/>
    <w:rsid w:val="0041768B"/>
    <w:rsid w:val="00417D03"/>
    <w:rsid w:val="00417EF6"/>
    <w:rsid w:val="0042021F"/>
    <w:rsid w:val="00420407"/>
    <w:rsid w:val="00420481"/>
    <w:rsid w:val="00420827"/>
    <w:rsid w:val="00420933"/>
    <w:rsid w:val="00420BCD"/>
    <w:rsid w:val="004214D2"/>
    <w:rsid w:val="0042159A"/>
    <w:rsid w:val="00421D06"/>
    <w:rsid w:val="0042266A"/>
    <w:rsid w:val="00422685"/>
    <w:rsid w:val="004226D5"/>
    <w:rsid w:val="00422A19"/>
    <w:rsid w:val="00422B30"/>
    <w:rsid w:val="00423063"/>
    <w:rsid w:val="00423989"/>
    <w:rsid w:val="00424197"/>
    <w:rsid w:val="004241F4"/>
    <w:rsid w:val="00424CE5"/>
    <w:rsid w:val="004250E4"/>
    <w:rsid w:val="004258A5"/>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EC2"/>
    <w:rsid w:val="00427FCB"/>
    <w:rsid w:val="00430152"/>
    <w:rsid w:val="00430736"/>
    <w:rsid w:val="00430862"/>
    <w:rsid w:val="00430D29"/>
    <w:rsid w:val="00430F4B"/>
    <w:rsid w:val="00431069"/>
    <w:rsid w:val="004313C0"/>
    <w:rsid w:val="00431814"/>
    <w:rsid w:val="00431C62"/>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34"/>
    <w:rsid w:val="00440248"/>
    <w:rsid w:val="00440792"/>
    <w:rsid w:val="004408F8"/>
    <w:rsid w:val="00440B98"/>
    <w:rsid w:val="004413E5"/>
    <w:rsid w:val="004413F7"/>
    <w:rsid w:val="00441C09"/>
    <w:rsid w:val="0044204C"/>
    <w:rsid w:val="00442489"/>
    <w:rsid w:val="00442D1B"/>
    <w:rsid w:val="00442E80"/>
    <w:rsid w:val="0044334B"/>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742"/>
    <w:rsid w:val="0045297E"/>
    <w:rsid w:val="004530D2"/>
    <w:rsid w:val="0045315C"/>
    <w:rsid w:val="00453494"/>
    <w:rsid w:val="00453D19"/>
    <w:rsid w:val="00453DD9"/>
    <w:rsid w:val="00454522"/>
    <w:rsid w:val="00454582"/>
    <w:rsid w:val="00454744"/>
    <w:rsid w:val="004553B1"/>
    <w:rsid w:val="00455558"/>
    <w:rsid w:val="004555F2"/>
    <w:rsid w:val="00455AFC"/>
    <w:rsid w:val="00455B9C"/>
    <w:rsid w:val="0045611C"/>
    <w:rsid w:val="00456999"/>
    <w:rsid w:val="00457522"/>
    <w:rsid w:val="004576A1"/>
    <w:rsid w:val="00457B10"/>
    <w:rsid w:val="00457B9D"/>
    <w:rsid w:val="00460141"/>
    <w:rsid w:val="0046017A"/>
    <w:rsid w:val="004604C1"/>
    <w:rsid w:val="0046059A"/>
    <w:rsid w:val="00460AD3"/>
    <w:rsid w:val="00460F13"/>
    <w:rsid w:val="00461C54"/>
    <w:rsid w:val="00461D73"/>
    <w:rsid w:val="00461DE2"/>
    <w:rsid w:val="00461EBD"/>
    <w:rsid w:val="00462520"/>
    <w:rsid w:val="004625D8"/>
    <w:rsid w:val="00462AF9"/>
    <w:rsid w:val="00462C92"/>
    <w:rsid w:val="00462D0F"/>
    <w:rsid w:val="00463133"/>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BA8"/>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130"/>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165"/>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9F"/>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2C23"/>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8A9"/>
    <w:rsid w:val="004D1FBB"/>
    <w:rsid w:val="004D2262"/>
    <w:rsid w:val="004D2286"/>
    <w:rsid w:val="004D2758"/>
    <w:rsid w:val="004D28F9"/>
    <w:rsid w:val="004D29E6"/>
    <w:rsid w:val="004D3524"/>
    <w:rsid w:val="004D357C"/>
    <w:rsid w:val="004D35AD"/>
    <w:rsid w:val="004D35FB"/>
    <w:rsid w:val="004D3722"/>
    <w:rsid w:val="004D3952"/>
    <w:rsid w:val="004D398A"/>
    <w:rsid w:val="004D3C4E"/>
    <w:rsid w:val="004D3EDE"/>
    <w:rsid w:val="004D3F90"/>
    <w:rsid w:val="004D4448"/>
    <w:rsid w:val="004D4459"/>
    <w:rsid w:val="004D4633"/>
    <w:rsid w:val="004D4A1F"/>
    <w:rsid w:val="004D4D7D"/>
    <w:rsid w:val="004D5645"/>
    <w:rsid w:val="004D59CF"/>
    <w:rsid w:val="004D5AFD"/>
    <w:rsid w:val="004D5EF6"/>
    <w:rsid w:val="004D6455"/>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3F3F"/>
    <w:rsid w:val="004E46AA"/>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73"/>
    <w:rsid w:val="004F27CF"/>
    <w:rsid w:val="004F2888"/>
    <w:rsid w:val="004F293E"/>
    <w:rsid w:val="004F2C4C"/>
    <w:rsid w:val="004F34E8"/>
    <w:rsid w:val="004F3C7C"/>
    <w:rsid w:val="004F401D"/>
    <w:rsid w:val="004F45A4"/>
    <w:rsid w:val="004F45B9"/>
    <w:rsid w:val="004F4CD3"/>
    <w:rsid w:val="004F541A"/>
    <w:rsid w:val="004F548F"/>
    <w:rsid w:val="004F570C"/>
    <w:rsid w:val="004F5A1C"/>
    <w:rsid w:val="004F5A68"/>
    <w:rsid w:val="004F5E3A"/>
    <w:rsid w:val="004F60DA"/>
    <w:rsid w:val="004F65B0"/>
    <w:rsid w:val="004F6984"/>
    <w:rsid w:val="004F6D07"/>
    <w:rsid w:val="004F6FB2"/>
    <w:rsid w:val="004F7225"/>
    <w:rsid w:val="004F7395"/>
    <w:rsid w:val="004F76E2"/>
    <w:rsid w:val="004F7802"/>
    <w:rsid w:val="0050060B"/>
    <w:rsid w:val="0050068C"/>
    <w:rsid w:val="005007BE"/>
    <w:rsid w:val="005009BE"/>
    <w:rsid w:val="005016A4"/>
    <w:rsid w:val="0050204D"/>
    <w:rsid w:val="0050233D"/>
    <w:rsid w:val="0050243B"/>
    <w:rsid w:val="00502663"/>
    <w:rsid w:val="00502829"/>
    <w:rsid w:val="00502CEF"/>
    <w:rsid w:val="00503153"/>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93"/>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810"/>
    <w:rsid w:val="00562D0B"/>
    <w:rsid w:val="00562FEF"/>
    <w:rsid w:val="00563365"/>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278"/>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D53"/>
    <w:rsid w:val="00583545"/>
    <w:rsid w:val="005835F9"/>
    <w:rsid w:val="005838D4"/>
    <w:rsid w:val="00583DFD"/>
    <w:rsid w:val="00583F89"/>
    <w:rsid w:val="0058403F"/>
    <w:rsid w:val="005840E3"/>
    <w:rsid w:val="00584211"/>
    <w:rsid w:val="005845D3"/>
    <w:rsid w:val="00584BF1"/>
    <w:rsid w:val="00584D0C"/>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972"/>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BCD"/>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4AC4"/>
    <w:rsid w:val="005A4BFF"/>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A7D"/>
    <w:rsid w:val="005B2ED7"/>
    <w:rsid w:val="005B3244"/>
    <w:rsid w:val="005B3268"/>
    <w:rsid w:val="005B335D"/>
    <w:rsid w:val="005B33A9"/>
    <w:rsid w:val="005B35DB"/>
    <w:rsid w:val="005B3601"/>
    <w:rsid w:val="005B37AC"/>
    <w:rsid w:val="005B37C5"/>
    <w:rsid w:val="005B38AE"/>
    <w:rsid w:val="005B3AB8"/>
    <w:rsid w:val="005B3AC3"/>
    <w:rsid w:val="005B3CEB"/>
    <w:rsid w:val="005B3E5F"/>
    <w:rsid w:val="005B4A0C"/>
    <w:rsid w:val="005B4DBF"/>
    <w:rsid w:val="005B52B6"/>
    <w:rsid w:val="005B55AE"/>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92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15F"/>
    <w:rsid w:val="005D7410"/>
    <w:rsid w:val="005D7459"/>
    <w:rsid w:val="005E106F"/>
    <w:rsid w:val="005E1BC5"/>
    <w:rsid w:val="005E1FF3"/>
    <w:rsid w:val="005E20F0"/>
    <w:rsid w:val="005E248C"/>
    <w:rsid w:val="005E2941"/>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1EC0"/>
    <w:rsid w:val="005F2303"/>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18A"/>
    <w:rsid w:val="005F5282"/>
    <w:rsid w:val="005F55BE"/>
    <w:rsid w:val="005F56D1"/>
    <w:rsid w:val="005F5921"/>
    <w:rsid w:val="005F5A3C"/>
    <w:rsid w:val="005F62E7"/>
    <w:rsid w:val="005F64B8"/>
    <w:rsid w:val="005F663A"/>
    <w:rsid w:val="005F6683"/>
    <w:rsid w:val="005F6881"/>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4EF1"/>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4F12"/>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11"/>
    <w:rsid w:val="00620545"/>
    <w:rsid w:val="00620DDC"/>
    <w:rsid w:val="006212DB"/>
    <w:rsid w:val="006214F8"/>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BD1"/>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5E4"/>
    <w:rsid w:val="00636A77"/>
    <w:rsid w:val="00636CF5"/>
    <w:rsid w:val="00636E9E"/>
    <w:rsid w:val="006371EB"/>
    <w:rsid w:val="006373F2"/>
    <w:rsid w:val="0063780F"/>
    <w:rsid w:val="0063798E"/>
    <w:rsid w:val="00637E4E"/>
    <w:rsid w:val="0064014E"/>
    <w:rsid w:val="006404E9"/>
    <w:rsid w:val="00640537"/>
    <w:rsid w:val="00640D50"/>
    <w:rsid w:val="00640E5B"/>
    <w:rsid w:val="00641273"/>
    <w:rsid w:val="00641598"/>
    <w:rsid w:val="006415BD"/>
    <w:rsid w:val="00641AEB"/>
    <w:rsid w:val="006422C8"/>
    <w:rsid w:val="006422DD"/>
    <w:rsid w:val="00642AA3"/>
    <w:rsid w:val="00642E2E"/>
    <w:rsid w:val="00642F0B"/>
    <w:rsid w:val="006433AF"/>
    <w:rsid w:val="0064346D"/>
    <w:rsid w:val="006436FC"/>
    <w:rsid w:val="00644219"/>
    <w:rsid w:val="00644285"/>
    <w:rsid w:val="006443BD"/>
    <w:rsid w:val="00644A9C"/>
    <w:rsid w:val="00644EC7"/>
    <w:rsid w:val="00644ED2"/>
    <w:rsid w:val="00645458"/>
    <w:rsid w:val="00645634"/>
    <w:rsid w:val="0064563D"/>
    <w:rsid w:val="006457F2"/>
    <w:rsid w:val="0064617E"/>
    <w:rsid w:val="00646422"/>
    <w:rsid w:val="00646AC1"/>
    <w:rsid w:val="006474FD"/>
    <w:rsid w:val="00647874"/>
    <w:rsid w:val="00647898"/>
    <w:rsid w:val="00647B98"/>
    <w:rsid w:val="00647CEB"/>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C8"/>
    <w:rsid w:val="00653BE4"/>
    <w:rsid w:val="00653D43"/>
    <w:rsid w:val="0065413F"/>
    <w:rsid w:val="0065421B"/>
    <w:rsid w:val="00654254"/>
    <w:rsid w:val="006542E6"/>
    <w:rsid w:val="006544E2"/>
    <w:rsid w:val="00654938"/>
    <w:rsid w:val="00654C7A"/>
    <w:rsid w:val="00654E54"/>
    <w:rsid w:val="006552CD"/>
    <w:rsid w:val="0065570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6C05"/>
    <w:rsid w:val="00667D2E"/>
    <w:rsid w:val="00667EA1"/>
    <w:rsid w:val="00670215"/>
    <w:rsid w:val="00670294"/>
    <w:rsid w:val="00670549"/>
    <w:rsid w:val="006705D8"/>
    <w:rsid w:val="00670841"/>
    <w:rsid w:val="00670B9D"/>
    <w:rsid w:val="006711B5"/>
    <w:rsid w:val="00671572"/>
    <w:rsid w:val="006717BD"/>
    <w:rsid w:val="00671882"/>
    <w:rsid w:val="00671A37"/>
    <w:rsid w:val="00671A4F"/>
    <w:rsid w:val="00671FAD"/>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3B1"/>
    <w:rsid w:val="0068297A"/>
    <w:rsid w:val="00682B26"/>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89"/>
    <w:rsid w:val="006971E7"/>
    <w:rsid w:val="006972A3"/>
    <w:rsid w:val="00697498"/>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6CD"/>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150"/>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6B4"/>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0D14"/>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65D"/>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5AA"/>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648"/>
    <w:rsid w:val="006F578A"/>
    <w:rsid w:val="006F5AB4"/>
    <w:rsid w:val="006F60B6"/>
    <w:rsid w:val="006F6642"/>
    <w:rsid w:val="006F6740"/>
    <w:rsid w:val="006F6D72"/>
    <w:rsid w:val="006F6FCA"/>
    <w:rsid w:val="006F7583"/>
    <w:rsid w:val="006F77F6"/>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04"/>
    <w:rsid w:val="007079F9"/>
    <w:rsid w:val="00707EBD"/>
    <w:rsid w:val="00710069"/>
    <w:rsid w:val="007102CC"/>
    <w:rsid w:val="00710700"/>
    <w:rsid w:val="00710ADE"/>
    <w:rsid w:val="007111DC"/>
    <w:rsid w:val="0071124F"/>
    <w:rsid w:val="00711598"/>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DB5"/>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4F10"/>
    <w:rsid w:val="0073514D"/>
    <w:rsid w:val="00735553"/>
    <w:rsid w:val="007356F1"/>
    <w:rsid w:val="007357F0"/>
    <w:rsid w:val="00735A8A"/>
    <w:rsid w:val="00735C2E"/>
    <w:rsid w:val="00735CB6"/>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19EE"/>
    <w:rsid w:val="007423FE"/>
    <w:rsid w:val="00742DAD"/>
    <w:rsid w:val="00742F5B"/>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245"/>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3D6"/>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059"/>
    <w:rsid w:val="00785293"/>
    <w:rsid w:val="00785482"/>
    <w:rsid w:val="00785F2B"/>
    <w:rsid w:val="00786158"/>
    <w:rsid w:val="00786159"/>
    <w:rsid w:val="00786289"/>
    <w:rsid w:val="00786414"/>
    <w:rsid w:val="007866CD"/>
    <w:rsid w:val="00786AAB"/>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35"/>
    <w:rsid w:val="00791BBE"/>
    <w:rsid w:val="0079226A"/>
    <w:rsid w:val="00792A2D"/>
    <w:rsid w:val="00792F8E"/>
    <w:rsid w:val="007930E3"/>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468"/>
    <w:rsid w:val="007A1A14"/>
    <w:rsid w:val="007A1D4C"/>
    <w:rsid w:val="007A20B6"/>
    <w:rsid w:val="007A2C2C"/>
    <w:rsid w:val="007A2EC8"/>
    <w:rsid w:val="007A320A"/>
    <w:rsid w:val="007A34DF"/>
    <w:rsid w:val="007A3614"/>
    <w:rsid w:val="007A3DA8"/>
    <w:rsid w:val="007A3DDA"/>
    <w:rsid w:val="007A3E61"/>
    <w:rsid w:val="007A442A"/>
    <w:rsid w:val="007A4FBD"/>
    <w:rsid w:val="007A5283"/>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28D"/>
    <w:rsid w:val="007B24C2"/>
    <w:rsid w:val="007B28BF"/>
    <w:rsid w:val="007B2AC5"/>
    <w:rsid w:val="007B2F31"/>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2D0"/>
    <w:rsid w:val="007C1746"/>
    <w:rsid w:val="007C1993"/>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DA9"/>
    <w:rsid w:val="007D1E4B"/>
    <w:rsid w:val="007D2084"/>
    <w:rsid w:val="007D3EF8"/>
    <w:rsid w:val="007D3F5B"/>
    <w:rsid w:val="007D426A"/>
    <w:rsid w:val="007D46AA"/>
    <w:rsid w:val="007D4718"/>
    <w:rsid w:val="007D4BEF"/>
    <w:rsid w:val="007D4F07"/>
    <w:rsid w:val="007D55FF"/>
    <w:rsid w:val="007D58E5"/>
    <w:rsid w:val="007D5991"/>
    <w:rsid w:val="007D5B88"/>
    <w:rsid w:val="007D5E13"/>
    <w:rsid w:val="007D606B"/>
    <w:rsid w:val="007D632A"/>
    <w:rsid w:val="007D644F"/>
    <w:rsid w:val="007D675C"/>
    <w:rsid w:val="007D6B45"/>
    <w:rsid w:val="007D6C31"/>
    <w:rsid w:val="007D7239"/>
    <w:rsid w:val="007D74BD"/>
    <w:rsid w:val="007D7752"/>
    <w:rsid w:val="007D7B7C"/>
    <w:rsid w:val="007D7F3C"/>
    <w:rsid w:val="007E0893"/>
    <w:rsid w:val="007E09E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0C9"/>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2C6"/>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6F5A"/>
    <w:rsid w:val="0082731D"/>
    <w:rsid w:val="008278B8"/>
    <w:rsid w:val="00827AD2"/>
    <w:rsid w:val="00827C49"/>
    <w:rsid w:val="00827F79"/>
    <w:rsid w:val="00827FC4"/>
    <w:rsid w:val="008303CA"/>
    <w:rsid w:val="00830606"/>
    <w:rsid w:val="008306C4"/>
    <w:rsid w:val="00830746"/>
    <w:rsid w:val="0083092C"/>
    <w:rsid w:val="00830958"/>
    <w:rsid w:val="00830B6F"/>
    <w:rsid w:val="00830DC9"/>
    <w:rsid w:val="00831241"/>
    <w:rsid w:val="008313E3"/>
    <w:rsid w:val="00831757"/>
    <w:rsid w:val="008317EC"/>
    <w:rsid w:val="00831C1D"/>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0F7"/>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03"/>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01"/>
    <w:rsid w:val="00863959"/>
    <w:rsid w:val="00863A68"/>
    <w:rsid w:val="00863EFA"/>
    <w:rsid w:val="008640E5"/>
    <w:rsid w:val="0086411C"/>
    <w:rsid w:val="00864260"/>
    <w:rsid w:val="008642D6"/>
    <w:rsid w:val="00864B69"/>
    <w:rsid w:val="00864B72"/>
    <w:rsid w:val="00864CF3"/>
    <w:rsid w:val="00865088"/>
    <w:rsid w:val="0086515E"/>
    <w:rsid w:val="008653D0"/>
    <w:rsid w:val="00865957"/>
    <w:rsid w:val="0086639A"/>
    <w:rsid w:val="0086673A"/>
    <w:rsid w:val="00866A4B"/>
    <w:rsid w:val="008671FF"/>
    <w:rsid w:val="00867378"/>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AE6"/>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981"/>
    <w:rsid w:val="00880D73"/>
    <w:rsid w:val="00880E74"/>
    <w:rsid w:val="008811F4"/>
    <w:rsid w:val="008817EE"/>
    <w:rsid w:val="00881838"/>
    <w:rsid w:val="0088194D"/>
    <w:rsid w:val="00881E70"/>
    <w:rsid w:val="00881FF2"/>
    <w:rsid w:val="00882863"/>
    <w:rsid w:val="00882992"/>
    <w:rsid w:val="008831D3"/>
    <w:rsid w:val="00884056"/>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575"/>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A9B"/>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5F7"/>
    <w:rsid w:val="008A46F4"/>
    <w:rsid w:val="008A4DCA"/>
    <w:rsid w:val="008A50FD"/>
    <w:rsid w:val="008A5259"/>
    <w:rsid w:val="008A52FC"/>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1E"/>
    <w:rsid w:val="008A7E60"/>
    <w:rsid w:val="008B03BF"/>
    <w:rsid w:val="008B05FD"/>
    <w:rsid w:val="008B0736"/>
    <w:rsid w:val="008B0D58"/>
    <w:rsid w:val="008B0E5A"/>
    <w:rsid w:val="008B1039"/>
    <w:rsid w:val="008B1294"/>
    <w:rsid w:val="008B157E"/>
    <w:rsid w:val="008B1586"/>
    <w:rsid w:val="008B17EB"/>
    <w:rsid w:val="008B1940"/>
    <w:rsid w:val="008B19F3"/>
    <w:rsid w:val="008B20F7"/>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777"/>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7DD"/>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54DC"/>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55E"/>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5D"/>
    <w:rsid w:val="00902963"/>
    <w:rsid w:val="0090297A"/>
    <w:rsid w:val="00902D2C"/>
    <w:rsid w:val="00902F09"/>
    <w:rsid w:val="0090302A"/>
    <w:rsid w:val="00903068"/>
    <w:rsid w:val="00903251"/>
    <w:rsid w:val="0090337B"/>
    <w:rsid w:val="009038E6"/>
    <w:rsid w:val="00903D02"/>
    <w:rsid w:val="00903D0C"/>
    <w:rsid w:val="00903DA4"/>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BDD"/>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5AE"/>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5A"/>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7B4"/>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5B4"/>
    <w:rsid w:val="0094663B"/>
    <w:rsid w:val="0094665B"/>
    <w:rsid w:val="009466BF"/>
    <w:rsid w:val="00946708"/>
    <w:rsid w:val="00946B86"/>
    <w:rsid w:val="00947093"/>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5E43"/>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1F2"/>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63B"/>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3CF"/>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B9F"/>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83D"/>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3B3"/>
    <w:rsid w:val="009A2699"/>
    <w:rsid w:val="009A2965"/>
    <w:rsid w:val="009A2AC0"/>
    <w:rsid w:val="009A3182"/>
    <w:rsid w:val="009A3285"/>
    <w:rsid w:val="009A355A"/>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3F1"/>
    <w:rsid w:val="009A6462"/>
    <w:rsid w:val="009A6796"/>
    <w:rsid w:val="009A690A"/>
    <w:rsid w:val="009A6AE2"/>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3ED4"/>
    <w:rsid w:val="009B4A1B"/>
    <w:rsid w:val="009B4A43"/>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1E4A"/>
    <w:rsid w:val="009C20C0"/>
    <w:rsid w:val="009C20C6"/>
    <w:rsid w:val="009C21CC"/>
    <w:rsid w:val="009C22B4"/>
    <w:rsid w:val="009C24FA"/>
    <w:rsid w:val="009C257C"/>
    <w:rsid w:val="009C2665"/>
    <w:rsid w:val="009C32C6"/>
    <w:rsid w:val="009C38F4"/>
    <w:rsid w:val="009C3C5B"/>
    <w:rsid w:val="009C4047"/>
    <w:rsid w:val="009C44C7"/>
    <w:rsid w:val="009C48A3"/>
    <w:rsid w:val="009C4901"/>
    <w:rsid w:val="009C4A9F"/>
    <w:rsid w:val="009C4C25"/>
    <w:rsid w:val="009C4E33"/>
    <w:rsid w:val="009C521B"/>
    <w:rsid w:val="009C5872"/>
    <w:rsid w:val="009C5A75"/>
    <w:rsid w:val="009C5D51"/>
    <w:rsid w:val="009C5F31"/>
    <w:rsid w:val="009C646D"/>
    <w:rsid w:val="009C66C8"/>
    <w:rsid w:val="009C672B"/>
    <w:rsid w:val="009C675D"/>
    <w:rsid w:val="009C7737"/>
    <w:rsid w:val="009C7893"/>
    <w:rsid w:val="009C7E11"/>
    <w:rsid w:val="009D0A9D"/>
    <w:rsid w:val="009D0B41"/>
    <w:rsid w:val="009D0E15"/>
    <w:rsid w:val="009D0F82"/>
    <w:rsid w:val="009D11FF"/>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767"/>
    <w:rsid w:val="009D687E"/>
    <w:rsid w:val="009D68F5"/>
    <w:rsid w:val="009D6997"/>
    <w:rsid w:val="009D6E00"/>
    <w:rsid w:val="009D6E6F"/>
    <w:rsid w:val="009D71C0"/>
    <w:rsid w:val="009D7848"/>
    <w:rsid w:val="009D7CB4"/>
    <w:rsid w:val="009D7CC6"/>
    <w:rsid w:val="009E021F"/>
    <w:rsid w:val="009E030C"/>
    <w:rsid w:val="009E09F1"/>
    <w:rsid w:val="009E0CCC"/>
    <w:rsid w:val="009E1295"/>
    <w:rsid w:val="009E1800"/>
    <w:rsid w:val="009E1908"/>
    <w:rsid w:val="009E19CE"/>
    <w:rsid w:val="009E1C7D"/>
    <w:rsid w:val="009E1D96"/>
    <w:rsid w:val="009E1EF8"/>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CF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69D"/>
    <w:rsid w:val="009F7867"/>
    <w:rsid w:val="009F794D"/>
    <w:rsid w:val="009F796E"/>
    <w:rsid w:val="009F7F92"/>
    <w:rsid w:val="00A004EE"/>
    <w:rsid w:val="00A0095B"/>
    <w:rsid w:val="00A00B55"/>
    <w:rsid w:val="00A015B5"/>
    <w:rsid w:val="00A01666"/>
    <w:rsid w:val="00A01895"/>
    <w:rsid w:val="00A01AE7"/>
    <w:rsid w:val="00A021CF"/>
    <w:rsid w:val="00A022F7"/>
    <w:rsid w:val="00A02862"/>
    <w:rsid w:val="00A02CBD"/>
    <w:rsid w:val="00A0369E"/>
    <w:rsid w:val="00A03C02"/>
    <w:rsid w:val="00A03D98"/>
    <w:rsid w:val="00A03DA3"/>
    <w:rsid w:val="00A03F1F"/>
    <w:rsid w:val="00A03F4B"/>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49"/>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38E"/>
    <w:rsid w:val="00A20667"/>
    <w:rsid w:val="00A2083F"/>
    <w:rsid w:val="00A21165"/>
    <w:rsid w:val="00A21471"/>
    <w:rsid w:val="00A216F9"/>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39E"/>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8EF"/>
    <w:rsid w:val="00A33947"/>
    <w:rsid w:val="00A341BA"/>
    <w:rsid w:val="00A34321"/>
    <w:rsid w:val="00A34384"/>
    <w:rsid w:val="00A3489F"/>
    <w:rsid w:val="00A34C2C"/>
    <w:rsid w:val="00A35858"/>
    <w:rsid w:val="00A35B51"/>
    <w:rsid w:val="00A35DF9"/>
    <w:rsid w:val="00A36028"/>
    <w:rsid w:val="00A3614E"/>
    <w:rsid w:val="00A36275"/>
    <w:rsid w:val="00A36983"/>
    <w:rsid w:val="00A369D4"/>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1C"/>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B45"/>
    <w:rsid w:val="00A46CBB"/>
    <w:rsid w:val="00A47243"/>
    <w:rsid w:val="00A47639"/>
    <w:rsid w:val="00A477DD"/>
    <w:rsid w:val="00A47828"/>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B55"/>
    <w:rsid w:val="00A52D21"/>
    <w:rsid w:val="00A5307C"/>
    <w:rsid w:val="00A531AF"/>
    <w:rsid w:val="00A53295"/>
    <w:rsid w:val="00A53372"/>
    <w:rsid w:val="00A5342B"/>
    <w:rsid w:val="00A53BAA"/>
    <w:rsid w:val="00A53D81"/>
    <w:rsid w:val="00A53F03"/>
    <w:rsid w:val="00A54386"/>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13"/>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0F5C"/>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5DE"/>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CAD"/>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77"/>
    <w:rsid w:val="00A73886"/>
    <w:rsid w:val="00A7393D"/>
    <w:rsid w:val="00A73C9F"/>
    <w:rsid w:val="00A74239"/>
    <w:rsid w:val="00A747B1"/>
    <w:rsid w:val="00A752A7"/>
    <w:rsid w:val="00A752B5"/>
    <w:rsid w:val="00A754B6"/>
    <w:rsid w:val="00A754CE"/>
    <w:rsid w:val="00A75A10"/>
    <w:rsid w:val="00A762D9"/>
    <w:rsid w:val="00A7633A"/>
    <w:rsid w:val="00A7646A"/>
    <w:rsid w:val="00A767D7"/>
    <w:rsid w:val="00A7680C"/>
    <w:rsid w:val="00A76B6A"/>
    <w:rsid w:val="00A76D1C"/>
    <w:rsid w:val="00A76D5D"/>
    <w:rsid w:val="00A76D8A"/>
    <w:rsid w:val="00A76EC8"/>
    <w:rsid w:val="00A7758E"/>
    <w:rsid w:val="00A775B6"/>
    <w:rsid w:val="00A777D7"/>
    <w:rsid w:val="00A779B1"/>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A7A"/>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7E"/>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DE"/>
    <w:rsid w:val="00AB0BA1"/>
    <w:rsid w:val="00AB0FC3"/>
    <w:rsid w:val="00AB1219"/>
    <w:rsid w:val="00AB19C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0557"/>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AD"/>
    <w:rsid w:val="00AC68EA"/>
    <w:rsid w:val="00AC6B72"/>
    <w:rsid w:val="00AC6C33"/>
    <w:rsid w:val="00AC6D41"/>
    <w:rsid w:val="00AC6DD5"/>
    <w:rsid w:val="00AC6E2D"/>
    <w:rsid w:val="00AC728E"/>
    <w:rsid w:val="00AC7C7B"/>
    <w:rsid w:val="00AC7D0C"/>
    <w:rsid w:val="00AC7ECE"/>
    <w:rsid w:val="00AC7EDD"/>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5B2C"/>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1C6F"/>
    <w:rsid w:val="00AF2158"/>
    <w:rsid w:val="00AF22EF"/>
    <w:rsid w:val="00AF29A7"/>
    <w:rsid w:val="00AF3313"/>
    <w:rsid w:val="00AF34B8"/>
    <w:rsid w:val="00AF3C53"/>
    <w:rsid w:val="00AF3DB9"/>
    <w:rsid w:val="00AF3F7B"/>
    <w:rsid w:val="00AF4322"/>
    <w:rsid w:val="00AF49A6"/>
    <w:rsid w:val="00AF5164"/>
    <w:rsid w:val="00AF57C1"/>
    <w:rsid w:val="00AF58BA"/>
    <w:rsid w:val="00AF5935"/>
    <w:rsid w:val="00AF5B93"/>
    <w:rsid w:val="00AF5D9F"/>
    <w:rsid w:val="00AF60E6"/>
    <w:rsid w:val="00AF65E0"/>
    <w:rsid w:val="00AF665A"/>
    <w:rsid w:val="00AF6B13"/>
    <w:rsid w:val="00AF6B29"/>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AE4"/>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6CB3"/>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9BA"/>
    <w:rsid w:val="00B22A7E"/>
    <w:rsid w:val="00B22C12"/>
    <w:rsid w:val="00B230CB"/>
    <w:rsid w:val="00B233A3"/>
    <w:rsid w:val="00B23B5E"/>
    <w:rsid w:val="00B23B8E"/>
    <w:rsid w:val="00B23E15"/>
    <w:rsid w:val="00B2419B"/>
    <w:rsid w:val="00B241A5"/>
    <w:rsid w:val="00B24576"/>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607"/>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839"/>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33"/>
    <w:rsid w:val="00B510B2"/>
    <w:rsid w:val="00B518ED"/>
    <w:rsid w:val="00B51A8B"/>
    <w:rsid w:val="00B51CBA"/>
    <w:rsid w:val="00B51D56"/>
    <w:rsid w:val="00B523A6"/>
    <w:rsid w:val="00B525BE"/>
    <w:rsid w:val="00B52826"/>
    <w:rsid w:val="00B52870"/>
    <w:rsid w:val="00B52975"/>
    <w:rsid w:val="00B529AD"/>
    <w:rsid w:val="00B529C9"/>
    <w:rsid w:val="00B52A1F"/>
    <w:rsid w:val="00B52C79"/>
    <w:rsid w:val="00B52D91"/>
    <w:rsid w:val="00B52F6C"/>
    <w:rsid w:val="00B5334B"/>
    <w:rsid w:val="00B5343B"/>
    <w:rsid w:val="00B53511"/>
    <w:rsid w:val="00B5366D"/>
    <w:rsid w:val="00B53681"/>
    <w:rsid w:val="00B5376D"/>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5FCA"/>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1B3"/>
    <w:rsid w:val="00B872A0"/>
    <w:rsid w:val="00B877B8"/>
    <w:rsid w:val="00B87BCB"/>
    <w:rsid w:val="00B87DE3"/>
    <w:rsid w:val="00B901E8"/>
    <w:rsid w:val="00B902C0"/>
    <w:rsid w:val="00B90545"/>
    <w:rsid w:val="00B90A49"/>
    <w:rsid w:val="00B911E2"/>
    <w:rsid w:val="00B917C9"/>
    <w:rsid w:val="00B9206F"/>
    <w:rsid w:val="00B920F3"/>
    <w:rsid w:val="00B92918"/>
    <w:rsid w:val="00B92D46"/>
    <w:rsid w:val="00B92E71"/>
    <w:rsid w:val="00B93225"/>
    <w:rsid w:val="00B93AB0"/>
    <w:rsid w:val="00B93C41"/>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060"/>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4F73"/>
    <w:rsid w:val="00BA5697"/>
    <w:rsid w:val="00BA5807"/>
    <w:rsid w:val="00BA59C2"/>
    <w:rsid w:val="00BA5A84"/>
    <w:rsid w:val="00BA5BDE"/>
    <w:rsid w:val="00BA5F15"/>
    <w:rsid w:val="00BA6022"/>
    <w:rsid w:val="00BA616D"/>
    <w:rsid w:val="00BA6204"/>
    <w:rsid w:val="00BA6207"/>
    <w:rsid w:val="00BA63F4"/>
    <w:rsid w:val="00BA68F6"/>
    <w:rsid w:val="00BA6949"/>
    <w:rsid w:val="00BA705D"/>
    <w:rsid w:val="00BA70A9"/>
    <w:rsid w:val="00BA7842"/>
    <w:rsid w:val="00BA7CE7"/>
    <w:rsid w:val="00BB0067"/>
    <w:rsid w:val="00BB00DE"/>
    <w:rsid w:val="00BB072E"/>
    <w:rsid w:val="00BB0773"/>
    <w:rsid w:val="00BB081A"/>
    <w:rsid w:val="00BB08A8"/>
    <w:rsid w:val="00BB09E7"/>
    <w:rsid w:val="00BB1215"/>
    <w:rsid w:val="00BB1245"/>
    <w:rsid w:val="00BB12FC"/>
    <w:rsid w:val="00BB15AB"/>
    <w:rsid w:val="00BB15F1"/>
    <w:rsid w:val="00BB162D"/>
    <w:rsid w:val="00BB1906"/>
    <w:rsid w:val="00BB2271"/>
    <w:rsid w:val="00BB2788"/>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1AB"/>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575"/>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B6"/>
    <w:rsid w:val="00BE7715"/>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1D2B"/>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26E"/>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3C14"/>
    <w:rsid w:val="00C24116"/>
    <w:rsid w:val="00C24344"/>
    <w:rsid w:val="00C247C4"/>
    <w:rsid w:val="00C247FD"/>
    <w:rsid w:val="00C24A07"/>
    <w:rsid w:val="00C24AAF"/>
    <w:rsid w:val="00C24B64"/>
    <w:rsid w:val="00C24EF5"/>
    <w:rsid w:val="00C2561D"/>
    <w:rsid w:val="00C258B1"/>
    <w:rsid w:val="00C2626E"/>
    <w:rsid w:val="00C2657B"/>
    <w:rsid w:val="00C266A8"/>
    <w:rsid w:val="00C267C7"/>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918"/>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B01"/>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346"/>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1EF6"/>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411"/>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EB"/>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DA9"/>
    <w:rsid w:val="00CA7EC6"/>
    <w:rsid w:val="00CB0105"/>
    <w:rsid w:val="00CB0304"/>
    <w:rsid w:val="00CB0922"/>
    <w:rsid w:val="00CB09B9"/>
    <w:rsid w:val="00CB1694"/>
    <w:rsid w:val="00CB1874"/>
    <w:rsid w:val="00CB1958"/>
    <w:rsid w:val="00CB1DAB"/>
    <w:rsid w:val="00CB1DB2"/>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B3C"/>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A92"/>
    <w:rsid w:val="00CD0C7F"/>
    <w:rsid w:val="00CD0D78"/>
    <w:rsid w:val="00CD0F24"/>
    <w:rsid w:val="00CD0F76"/>
    <w:rsid w:val="00CD17D2"/>
    <w:rsid w:val="00CD1CC9"/>
    <w:rsid w:val="00CD1D05"/>
    <w:rsid w:val="00CD1DA0"/>
    <w:rsid w:val="00CD24C7"/>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1E6"/>
    <w:rsid w:val="00CF5358"/>
    <w:rsid w:val="00CF551E"/>
    <w:rsid w:val="00CF57F4"/>
    <w:rsid w:val="00CF589F"/>
    <w:rsid w:val="00CF59E2"/>
    <w:rsid w:val="00CF5A20"/>
    <w:rsid w:val="00CF5A39"/>
    <w:rsid w:val="00CF5A5B"/>
    <w:rsid w:val="00CF5C48"/>
    <w:rsid w:val="00CF5E94"/>
    <w:rsid w:val="00CF6498"/>
    <w:rsid w:val="00CF654D"/>
    <w:rsid w:val="00CF67B0"/>
    <w:rsid w:val="00CF6844"/>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1CF2"/>
    <w:rsid w:val="00D020E2"/>
    <w:rsid w:val="00D0235A"/>
    <w:rsid w:val="00D025A6"/>
    <w:rsid w:val="00D02B09"/>
    <w:rsid w:val="00D02C28"/>
    <w:rsid w:val="00D02F9D"/>
    <w:rsid w:val="00D0306D"/>
    <w:rsid w:val="00D03130"/>
    <w:rsid w:val="00D0360C"/>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B8F"/>
    <w:rsid w:val="00D20C74"/>
    <w:rsid w:val="00D20E9D"/>
    <w:rsid w:val="00D2100B"/>
    <w:rsid w:val="00D21099"/>
    <w:rsid w:val="00D2112B"/>
    <w:rsid w:val="00D212AF"/>
    <w:rsid w:val="00D21A76"/>
    <w:rsid w:val="00D21D42"/>
    <w:rsid w:val="00D21EC9"/>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581"/>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9F6"/>
    <w:rsid w:val="00D42F28"/>
    <w:rsid w:val="00D4321B"/>
    <w:rsid w:val="00D435B0"/>
    <w:rsid w:val="00D4394A"/>
    <w:rsid w:val="00D43BB4"/>
    <w:rsid w:val="00D4428E"/>
    <w:rsid w:val="00D442CE"/>
    <w:rsid w:val="00D444F2"/>
    <w:rsid w:val="00D449E4"/>
    <w:rsid w:val="00D4511A"/>
    <w:rsid w:val="00D451B1"/>
    <w:rsid w:val="00D4525A"/>
    <w:rsid w:val="00D45290"/>
    <w:rsid w:val="00D4571E"/>
    <w:rsid w:val="00D45736"/>
    <w:rsid w:val="00D45781"/>
    <w:rsid w:val="00D45AB1"/>
    <w:rsid w:val="00D45B28"/>
    <w:rsid w:val="00D4621E"/>
    <w:rsid w:val="00D46BFB"/>
    <w:rsid w:val="00D46F55"/>
    <w:rsid w:val="00D46F86"/>
    <w:rsid w:val="00D47328"/>
    <w:rsid w:val="00D47DEC"/>
    <w:rsid w:val="00D47F1D"/>
    <w:rsid w:val="00D50052"/>
    <w:rsid w:val="00D50141"/>
    <w:rsid w:val="00D50A54"/>
    <w:rsid w:val="00D5126C"/>
    <w:rsid w:val="00D5170E"/>
    <w:rsid w:val="00D51A6E"/>
    <w:rsid w:val="00D51E70"/>
    <w:rsid w:val="00D52680"/>
    <w:rsid w:val="00D536DC"/>
    <w:rsid w:val="00D536F1"/>
    <w:rsid w:val="00D53A3B"/>
    <w:rsid w:val="00D54108"/>
    <w:rsid w:val="00D54301"/>
    <w:rsid w:val="00D5436C"/>
    <w:rsid w:val="00D54391"/>
    <w:rsid w:val="00D547F2"/>
    <w:rsid w:val="00D54833"/>
    <w:rsid w:val="00D549F4"/>
    <w:rsid w:val="00D54D08"/>
    <w:rsid w:val="00D5518A"/>
    <w:rsid w:val="00D5535C"/>
    <w:rsid w:val="00D5541B"/>
    <w:rsid w:val="00D5564A"/>
    <w:rsid w:val="00D55683"/>
    <w:rsid w:val="00D55AFA"/>
    <w:rsid w:val="00D55BB9"/>
    <w:rsid w:val="00D5613E"/>
    <w:rsid w:val="00D56396"/>
    <w:rsid w:val="00D56460"/>
    <w:rsid w:val="00D56B1B"/>
    <w:rsid w:val="00D57068"/>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4EA"/>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7DF"/>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8BB"/>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4AC"/>
    <w:rsid w:val="00D846BE"/>
    <w:rsid w:val="00D84979"/>
    <w:rsid w:val="00D84D15"/>
    <w:rsid w:val="00D851F4"/>
    <w:rsid w:val="00D85907"/>
    <w:rsid w:val="00D85B2B"/>
    <w:rsid w:val="00D85BB3"/>
    <w:rsid w:val="00D85DE0"/>
    <w:rsid w:val="00D85E62"/>
    <w:rsid w:val="00D85EFC"/>
    <w:rsid w:val="00D85FA9"/>
    <w:rsid w:val="00D860FA"/>
    <w:rsid w:val="00D8614E"/>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A7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170"/>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9DA"/>
    <w:rsid w:val="00DB3D2C"/>
    <w:rsid w:val="00DB3D9D"/>
    <w:rsid w:val="00DB3E04"/>
    <w:rsid w:val="00DB3E29"/>
    <w:rsid w:val="00DB3FE4"/>
    <w:rsid w:val="00DB42A8"/>
    <w:rsid w:val="00DB44B4"/>
    <w:rsid w:val="00DB4716"/>
    <w:rsid w:val="00DB4743"/>
    <w:rsid w:val="00DB4872"/>
    <w:rsid w:val="00DB4928"/>
    <w:rsid w:val="00DB4A67"/>
    <w:rsid w:val="00DB5233"/>
    <w:rsid w:val="00DB55AC"/>
    <w:rsid w:val="00DB56F5"/>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B86"/>
    <w:rsid w:val="00DC7F11"/>
    <w:rsid w:val="00DD00F5"/>
    <w:rsid w:val="00DD0134"/>
    <w:rsid w:val="00DD0276"/>
    <w:rsid w:val="00DD0442"/>
    <w:rsid w:val="00DD0E7E"/>
    <w:rsid w:val="00DD1008"/>
    <w:rsid w:val="00DD14C6"/>
    <w:rsid w:val="00DD14D2"/>
    <w:rsid w:val="00DD1602"/>
    <w:rsid w:val="00DD164C"/>
    <w:rsid w:val="00DD16BF"/>
    <w:rsid w:val="00DD1F2B"/>
    <w:rsid w:val="00DD2264"/>
    <w:rsid w:val="00DD22AF"/>
    <w:rsid w:val="00DD2394"/>
    <w:rsid w:val="00DD258D"/>
    <w:rsid w:val="00DD263D"/>
    <w:rsid w:val="00DD27B0"/>
    <w:rsid w:val="00DD2DC1"/>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8B9"/>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81D"/>
    <w:rsid w:val="00DE3A26"/>
    <w:rsid w:val="00DE3C0C"/>
    <w:rsid w:val="00DE3D9E"/>
    <w:rsid w:val="00DE3E39"/>
    <w:rsid w:val="00DE40C1"/>
    <w:rsid w:val="00DE40D7"/>
    <w:rsid w:val="00DE4114"/>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35F"/>
    <w:rsid w:val="00DF0382"/>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25B"/>
    <w:rsid w:val="00E13410"/>
    <w:rsid w:val="00E135AC"/>
    <w:rsid w:val="00E1397B"/>
    <w:rsid w:val="00E13B98"/>
    <w:rsid w:val="00E13C3F"/>
    <w:rsid w:val="00E13D0B"/>
    <w:rsid w:val="00E13FD7"/>
    <w:rsid w:val="00E140E1"/>
    <w:rsid w:val="00E1446D"/>
    <w:rsid w:val="00E148EB"/>
    <w:rsid w:val="00E149FF"/>
    <w:rsid w:val="00E14AE8"/>
    <w:rsid w:val="00E14CCC"/>
    <w:rsid w:val="00E15043"/>
    <w:rsid w:val="00E15237"/>
    <w:rsid w:val="00E15575"/>
    <w:rsid w:val="00E15622"/>
    <w:rsid w:val="00E15C9F"/>
    <w:rsid w:val="00E166C0"/>
    <w:rsid w:val="00E1696F"/>
    <w:rsid w:val="00E17267"/>
    <w:rsid w:val="00E175E8"/>
    <w:rsid w:val="00E17685"/>
    <w:rsid w:val="00E17A65"/>
    <w:rsid w:val="00E20189"/>
    <w:rsid w:val="00E20A15"/>
    <w:rsid w:val="00E20ADC"/>
    <w:rsid w:val="00E20C83"/>
    <w:rsid w:val="00E20CFF"/>
    <w:rsid w:val="00E21191"/>
    <w:rsid w:val="00E2165B"/>
    <w:rsid w:val="00E2174F"/>
    <w:rsid w:val="00E218C0"/>
    <w:rsid w:val="00E21911"/>
    <w:rsid w:val="00E21BBF"/>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9A8"/>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1"/>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DA5"/>
    <w:rsid w:val="00E41FA7"/>
    <w:rsid w:val="00E42B5E"/>
    <w:rsid w:val="00E432D9"/>
    <w:rsid w:val="00E433A4"/>
    <w:rsid w:val="00E43A7D"/>
    <w:rsid w:val="00E43B7E"/>
    <w:rsid w:val="00E443C3"/>
    <w:rsid w:val="00E443E0"/>
    <w:rsid w:val="00E4448C"/>
    <w:rsid w:val="00E445EA"/>
    <w:rsid w:val="00E44902"/>
    <w:rsid w:val="00E44D6D"/>
    <w:rsid w:val="00E44EFE"/>
    <w:rsid w:val="00E45141"/>
    <w:rsid w:val="00E455FD"/>
    <w:rsid w:val="00E45866"/>
    <w:rsid w:val="00E46024"/>
    <w:rsid w:val="00E46074"/>
    <w:rsid w:val="00E461CC"/>
    <w:rsid w:val="00E46258"/>
    <w:rsid w:val="00E4654D"/>
    <w:rsid w:val="00E470EB"/>
    <w:rsid w:val="00E472C5"/>
    <w:rsid w:val="00E47456"/>
    <w:rsid w:val="00E4761D"/>
    <w:rsid w:val="00E47EE0"/>
    <w:rsid w:val="00E47F30"/>
    <w:rsid w:val="00E47F34"/>
    <w:rsid w:val="00E5038B"/>
    <w:rsid w:val="00E5045B"/>
    <w:rsid w:val="00E50653"/>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4C"/>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4"/>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471"/>
    <w:rsid w:val="00E817ED"/>
    <w:rsid w:val="00E81D98"/>
    <w:rsid w:val="00E820F8"/>
    <w:rsid w:val="00E82644"/>
    <w:rsid w:val="00E8288B"/>
    <w:rsid w:val="00E82F23"/>
    <w:rsid w:val="00E82FE3"/>
    <w:rsid w:val="00E833E6"/>
    <w:rsid w:val="00E835CA"/>
    <w:rsid w:val="00E837DA"/>
    <w:rsid w:val="00E83B87"/>
    <w:rsid w:val="00E83FA4"/>
    <w:rsid w:val="00E84622"/>
    <w:rsid w:val="00E847A0"/>
    <w:rsid w:val="00E84A73"/>
    <w:rsid w:val="00E84BEC"/>
    <w:rsid w:val="00E8512F"/>
    <w:rsid w:val="00E853AA"/>
    <w:rsid w:val="00E85ADE"/>
    <w:rsid w:val="00E862F6"/>
    <w:rsid w:val="00E86350"/>
    <w:rsid w:val="00E863DE"/>
    <w:rsid w:val="00E866AB"/>
    <w:rsid w:val="00E86752"/>
    <w:rsid w:val="00E86959"/>
    <w:rsid w:val="00E86E36"/>
    <w:rsid w:val="00E87577"/>
    <w:rsid w:val="00E87891"/>
    <w:rsid w:val="00E87EEF"/>
    <w:rsid w:val="00E91078"/>
    <w:rsid w:val="00E9133A"/>
    <w:rsid w:val="00E914F4"/>
    <w:rsid w:val="00E91D67"/>
    <w:rsid w:val="00E92603"/>
    <w:rsid w:val="00E927DD"/>
    <w:rsid w:val="00E928A3"/>
    <w:rsid w:val="00E92AE4"/>
    <w:rsid w:val="00E92BFE"/>
    <w:rsid w:val="00E932AF"/>
    <w:rsid w:val="00E93352"/>
    <w:rsid w:val="00E936B1"/>
    <w:rsid w:val="00E93A4F"/>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0FF"/>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C9"/>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39F9"/>
    <w:rsid w:val="00EC404E"/>
    <w:rsid w:val="00EC5182"/>
    <w:rsid w:val="00EC5191"/>
    <w:rsid w:val="00EC51B5"/>
    <w:rsid w:val="00EC51FD"/>
    <w:rsid w:val="00EC546B"/>
    <w:rsid w:val="00EC5FDC"/>
    <w:rsid w:val="00EC6055"/>
    <w:rsid w:val="00EC613F"/>
    <w:rsid w:val="00EC6511"/>
    <w:rsid w:val="00EC65EB"/>
    <w:rsid w:val="00EC6AB2"/>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16"/>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5C7"/>
    <w:rsid w:val="00EE760F"/>
    <w:rsid w:val="00EE7A57"/>
    <w:rsid w:val="00EF026B"/>
    <w:rsid w:val="00EF0400"/>
    <w:rsid w:val="00EF0817"/>
    <w:rsid w:val="00EF0968"/>
    <w:rsid w:val="00EF0B53"/>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D9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B4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8BA"/>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0E9"/>
    <w:rsid w:val="00F23150"/>
    <w:rsid w:val="00F2343B"/>
    <w:rsid w:val="00F238C4"/>
    <w:rsid w:val="00F23AC0"/>
    <w:rsid w:val="00F23D28"/>
    <w:rsid w:val="00F23DAD"/>
    <w:rsid w:val="00F23FA7"/>
    <w:rsid w:val="00F240F7"/>
    <w:rsid w:val="00F24640"/>
    <w:rsid w:val="00F24EBF"/>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2EC"/>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9E2"/>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A42"/>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24"/>
    <w:rsid w:val="00F72B7A"/>
    <w:rsid w:val="00F72EC4"/>
    <w:rsid w:val="00F72FC5"/>
    <w:rsid w:val="00F73168"/>
    <w:rsid w:val="00F7319D"/>
    <w:rsid w:val="00F73225"/>
    <w:rsid w:val="00F73241"/>
    <w:rsid w:val="00F732B8"/>
    <w:rsid w:val="00F73FEF"/>
    <w:rsid w:val="00F74753"/>
    <w:rsid w:val="00F74768"/>
    <w:rsid w:val="00F748C0"/>
    <w:rsid w:val="00F74A0D"/>
    <w:rsid w:val="00F74A8B"/>
    <w:rsid w:val="00F754E7"/>
    <w:rsid w:val="00F758B4"/>
    <w:rsid w:val="00F75EA2"/>
    <w:rsid w:val="00F7656F"/>
    <w:rsid w:val="00F76DD7"/>
    <w:rsid w:val="00F76F23"/>
    <w:rsid w:val="00F77061"/>
    <w:rsid w:val="00F776AC"/>
    <w:rsid w:val="00F776F4"/>
    <w:rsid w:val="00F77852"/>
    <w:rsid w:val="00F77A39"/>
    <w:rsid w:val="00F80535"/>
    <w:rsid w:val="00F814E9"/>
    <w:rsid w:val="00F81709"/>
    <w:rsid w:val="00F817FC"/>
    <w:rsid w:val="00F81AE4"/>
    <w:rsid w:val="00F81D7F"/>
    <w:rsid w:val="00F824B5"/>
    <w:rsid w:val="00F82545"/>
    <w:rsid w:val="00F82A32"/>
    <w:rsid w:val="00F82DDD"/>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63"/>
    <w:rsid w:val="00F92EFE"/>
    <w:rsid w:val="00F934E4"/>
    <w:rsid w:val="00F938B5"/>
    <w:rsid w:val="00F939A9"/>
    <w:rsid w:val="00F93A1B"/>
    <w:rsid w:val="00F9425B"/>
    <w:rsid w:val="00F9442C"/>
    <w:rsid w:val="00F944BD"/>
    <w:rsid w:val="00F946A1"/>
    <w:rsid w:val="00F94710"/>
    <w:rsid w:val="00F94C56"/>
    <w:rsid w:val="00F95082"/>
    <w:rsid w:val="00F95363"/>
    <w:rsid w:val="00F9543D"/>
    <w:rsid w:val="00F9635B"/>
    <w:rsid w:val="00F9658B"/>
    <w:rsid w:val="00F968A0"/>
    <w:rsid w:val="00F96D75"/>
    <w:rsid w:val="00F96F33"/>
    <w:rsid w:val="00F971CC"/>
    <w:rsid w:val="00F97EBC"/>
    <w:rsid w:val="00FA0393"/>
    <w:rsid w:val="00FA03D4"/>
    <w:rsid w:val="00FA05F3"/>
    <w:rsid w:val="00FA0A26"/>
    <w:rsid w:val="00FA147E"/>
    <w:rsid w:val="00FA16BF"/>
    <w:rsid w:val="00FA1876"/>
    <w:rsid w:val="00FA1D4F"/>
    <w:rsid w:val="00FA1D6A"/>
    <w:rsid w:val="00FA252E"/>
    <w:rsid w:val="00FA266A"/>
    <w:rsid w:val="00FA2741"/>
    <w:rsid w:val="00FA2A97"/>
    <w:rsid w:val="00FA2AAD"/>
    <w:rsid w:val="00FA2E2F"/>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685"/>
    <w:rsid w:val="00FB4B85"/>
    <w:rsid w:val="00FB4C47"/>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1F1A"/>
    <w:rsid w:val="00FC223A"/>
    <w:rsid w:val="00FC2486"/>
    <w:rsid w:val="00FC262E"/>
    <w:rsid w:val="00FC2695"/>
    <w:rsid w:val="00FC281A"/>
    <w:rsid w:val="00FC284F"/>
    <w:rsid w:val="00FC2991"/>
    <w:rsid w:val="00FC2B5D"/>
    <w:rsid w:val="00FC2F32"/>
    <w:rsid w:val="00FC3328"/>
    <w:rsid w:val="00FC3846"/>
    <w:rsid w:val="00FC3885"/>
    <w:rsid w:val="00FC3BEF"/>
    <w:rsid w:val="00FC3D27"/>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0B8"/>
    <w:rsid w:val="00FD1E48"/>
    <w:rsid w:val="00FD232A"/>
    <w:rsid w:val="00FD274A"/>
    <w:rsid w:val="00FD324D"/>
    <w:rsid w:val="00FD360C"/>
    <w:rsid w:val="00FD3B55"/>
    <w:rsid w:val="00FD437B"/>
    <w:rsid w:val="00FD43A0"/>
    <w:rsid w:val="00FD4859"/>
    <w:rsid w:val="00FD515E"/>
    <w:rsid w:val="00FD54F6"/>
    <w:rsid w:val="00FD5511"/>
    <w:rsid w:val="00FD5C39"/>
    <w:rsid w:val="00FD5C77"/>
    <w:rsid w:val="00FD6104"/>
    <w:rsid w:val="00FD627A"/>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0FBD"/>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3F9"/>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17E"/>
    <w:rsid w:val="00FF75FC"/>
    <w:rsid w:val="00FF7A60"/>
    <w:rsid w:val="00FF7A90"/>
    <w:rsid w:val="00FF7E4D"/>
    <w:rsid w:val="0115454E"/>
    <w:rsid w:val="01242C11"/>
    <w:rsid w:val="013B5510"/>
    <w:rsid w:val="013C4497"/>
    <w:rsid w:val="013D13C6"/>
    <w:rsid w:val="01422B07"/>
    <w:rsid w:val="01462EFE"/>
    <w:rsid w:val="015E0BE9"/>
    <w:rsid w:val="016847E7"/>
    <w:rsid w:val="018F1416"/>
    <w:rsid w:val="01AB094A"/>
    <w:rsid w:val="01AE21DC"/>
    <w:rsid w:val="01B306E4"/>
    <w:rsid w:val="01D27A5F"/>
    <w:rsid w:val="01E3250B"/>
    <w:rsid w:val="02004B2C"/>
    <w:rsid w:val="0201766A"/>
    <w:rsid w:val="02151F95"/>
    <w:rsid w:val="02203CC3"/>
    <w:rsid w:val="0221032A"/>
    <w:rsid w:val="022A4AA1"/>
    <w:rsid w:val="022E47B0"/>
    <w:rsid w:val="02554999"/>
    <w:rsid w:val="02565169"/>
    <w:rsid w:val="02574326"/>
    <w:rsid w:val="025B75F9"/>
    <w:rsid w:val="02767EF6"/>
    <w:rsid w:val="029B47FF"/>
    <w:rsid w:val="02B34E07"/>
    <w:rsid w:val="02E818F1"/>
    <w:rsid w:val="030F5EB8"/>
    <w:rsid w:val="031B3D3A"/>
    <w:rsid w:val="03300F14"/>
    <w:rsid w:val="03382F46"/>
    <w:rsid w:val="033A53C5"/>
    <w:rsid w:val="035F5C80"/>
    <w:rsid w:val="037C375A"/>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F479D"/>
    <w:rsid w:val="04694EAC"/>
    <w:rsid w:val="046A03D5"/>
    <w:rsid w:val="046C35A2"/>
    <w:rsid w:val="0492209E"/>
    <w:rsid w:val="049406C4"/>
    <w:rsid w:val="04B345F7"/>
    <w:rsid w:val="04BE7DD0"/>
    <w:rsid w:val="04CD0148"/>
    <w:rsid w:val="04D87FF2"/>
    <w:rsid w:val="04EB3650"/>
    <w:rsid w:val="050D0125"/>
    <w:rsid w:val="054445DB"/>
    <w:rsid w:val="055A06C9"/>
    <w:rsid w:val="05644CA9"/>
    <w:rsid w:val="056A6ABC"/>
    <w:rsid w:val="056B33A0"/>
    <w:rsid w:val="05702DF2"/>
    <w:rsid w:val="05733EFD"/>
    <w:rsid w:val="058A745F"/>
    <w:rsid w:val="058D2653"/>
    <w:rsid w:val="05930449"/>
    <w:rsid w:val="05A11E98"/>
    <w:rsid w:val="05B56F8C"/>
    <w:rsid w:val="05CF1D27"/>
    <w:rsid w:val="05EA3121"/>
    <w:rsid w:val="05EB37CA"/>
    <w:rsid w:val="05EF39F0"/>
    <w:rsid w:val="06073C3A"/>
    <w:rsid w:val="06093003"/>
    <w:rsid w:val="060D79A1"/>
    <w:rsid w:val="060E00E0"/>
    <w:rsid w:val="06197729"/>
    <w:rsid w:val="06257099"/>
    <w:rsid w:val="0632692A"/>
    <w:rsid w:val="064244D9"/>
    <w:rsid w:val="067751BD"/>
    <w:rsid w:val="06A11B02"/>
    <w:rsid w:val="06BA6ABF"/>
    <w:rsid w:val="06C62058"/>
    <w:rsid w:val="06CF7159"/>
    <w:rsid w:val="06D32D7E"/>
    <w:rsid w:val="06E21138"/>
    <w:rsid w:val="06E64C63"/>
    <w:rsid w:val="06F24EF2"/>
    <w:rsid w:val="07470651"/>
    <w:rsid w:val="075815C4"/>
    <w:rsid w:val="07934010"/>
    <w:rsid w:val="079D12CF"/>
    <w:rsid w:val="07A46BE4"/>
    <w:rsid w:val="07AE7932"/>
    <w:rsid w:val="07B814E5"/>
    <w:rsid w:val="07D013A8"/>
    <w:rsid w:val="07D648D8"/>
    <w:rsid w:val="07E22A7A"/>
    <w:rsid w:val="07EB27CC"/>
    <w:rsid w:val="07FD44E9"/>
    <w:rsid w:val="0805407D"/>
    <w:rsid w:val="08127126"/>
    <w:rsid w:val="08132E8B"/>
    <w:rsid w:val="081D706E"/>
    <w:rsid w:val="085C76CD"/>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9B554AF"/>
    <w:rsid w:val="0A0518AB"/>
    <w:rsid w:val="0A0D50DF"/>
    <w:rsid w:val="0A15151C"/>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96B11"/>
    <w:rsid w:val="0AFD09EB"/>
    <w:rsid w:val="0AFF05E6"/>
    <w:rsid w:val="0B07538C"/>
    <w:rsid w:val="0B1A274D"/>
    <w:rsid w:val="0B227BC7"/>
    <w:rsid w:val="0B254ED4"/>
    <w:rsid w:val="0B2E5D46"/>
    <w:rsid w:val="0B3A4E5B"/>
    <w:rsid w:val="0B536C32"/>
    <w:rsid w:val="0B5823AA"/>
    <w:rsid w:val="0B595FAD"/>
    <w:rsid w:val="0B6E0FF5"/>
    <w:rsid w:val="0B737155"/>
    <w:rsid w:val="0B827907"/>
    <w:rsid w:val="0B8C4C1A"/>
    <w:rsid w:val="0B9549DB"/>
    <w:rsid w:val="0B9D13EC"/>
    <w:rsid w:val="0BA07E46"/>
    <w:rsid w:val="0BC032D6"/>
    <w:rsid w:val="0BC10793"/>
    <w:rsid w:val="0BDB1E35"/>
    <w:rsid w:val="0BDB6546"/>
    <w:rsid w:val="0BE0571E"/>
    <w:rsid w:val="0BE32529"/>
    <w:rsid w:val="0C195365"/>
    <w:rsid w:val="0C1A6BD3"/>
    <w:rsid w:val="0C1D70C9"/>
    <w:rsid w:val="0C6F4E58"/>
    <w:rsid w:val="0C76751C"/>
    <w:rsid w:val="0CFB1DB9"/>
    <w:rsid w:val="0D103D70"/>
    <w:rsid w:val="0D220294"/>
    <w:rsid w:val="0D283356"/>
    <w:rsid w:val="0D3A4A42"/>
    <w:rsid w:val="0D5773D6"/>
    <w:rsid w:val="0D594DB6"/>
    <w:rsid w:val="0D632B1E"/>
    <w:rsid w:val="0D6E771D"/>
    <w:rsid w:val="0D7D7848"/>
    <w:rsid w:val="0D80206A"/>
    <w:rsid w:val="0D8E173E"/>
    <w:rsid w:val="0DA10A04"/>
    <w:rsid w:val="0DC37663"/>
    <w:rsid w:val="0DD74FA9"/>
    <w:rsid w:val="0DF13B47"/>
    <w:rsid w:val="0E0A5187"/>
    <w:rsid w:val="0E332166"/>
    <w:rsid w:val="0E3917FF"/>
    <w:rsid w:val="0E613656"/>
    <w:rsid w:val="0E72787E"/>
    <w:rsid w:val="0E990274"/>
    <w:rsid w:val="0E9F5739"/>
    <w:rsid w:val="0EA5120C"/>
    <w:rsid w:val="0EC3008E"/>
    <w:rsid w:val="0EDB339F"/>
    <w:rsid w:val="0F125211"/>
    <w:rsid w:val="0F152A9D"/>
    <w:rsid w:val="0F1B5BED"/>
    <w:rsid w:val="0F1E6D2F"/>
    <w:rsid w:val="0F1E7B0D"/>
    <w:rsid w:val="0F5E3523"/>
    <w:rsid w:val="0F62047F"/>
    <w:rsid w:val="0F6A4DD3"/>
    <w:rsid w:val="0F6B41F3"/>
    <w:rsid w:val="0F7A2097"/>
    <w:rsid w:val="0F7F1100"/>
    <w:rsid w:val="0F816B6A"/>
    <w:rsid w:val="0F82210C"/>
    <w:rsid w:val="0F950757"/>
    <w:rsid w:val="0FA023BF"/>
    <w:rsid w:val="0FA36B70"/>
    <w:rsid w:val="0FA37671"/>
    <w:rsid w:val="0FAC2C6D"/>
    <w:rsid w:val="0FB571D5"/>
    <w:rsid w:val="0FB70395"/>
    <w:rsid w:val="0FBA4112"/>
    <w:rsid w:val="0FBB10D0"/>
    <w:rsid w:val="0FDA6A10"/>
    <w:rsid w:val="10040C3F"/>
    <w:rsid w:val="100B59FA"/>
    <w:rsid w:val="10110CDB"/>
    <w:rsid w:val="10206D1E"/>
    <w:rsid w:val="10340DAF"/>
    <w:rsid w:val="10357330"/>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F5ED1"/>
    <w:rsid w:val="112A5200"/>
    <w:rsid w:val="112B7604"/>
    <w:rsid w:val="11306888"/>
    <w:rsid w:val="1168799E"/>
    <w:rsid w:val="117008BD"/>
    <w:rsid w:val="1174065A"/>
    <w:rsid w:val="118B5FDD"/>
    <w:rsid w:val="11A10C39"/>
    <w:rsid w:val="11A64DBC"/>
    <w:rsid w:val="11AF324A"/>
    <w:rsid w:val="11B31B1D"/>
    <w:rsid w:val="11B814E6"/>
    <w:rsid w:val="11C557B7"/>
    <w:rsid w:val="1228310E"/>
    <w:rsid w:val="12325B1D"/>
    <w:rsid w:val="1244691E"/>
    <w:rsid w:val="1251591B"/>
    <w:rsid w:val="12610602"/>
    <w:rsid w:val="126B461E"/>
    <w:rsid w:val="127D72F2"/>
    <w:rsid w:val="12A908D3"/>
    <w:rsid w:val="12AA7F02"/>
    <w:rsid w:val="12B31A9B"/>
    <w:rsid w:val="12B47253"/>
    <w:rsid w:val="12C14396"/>
    <w:rsid w:val="12D00E3E"/>
    <w:rsid w:val="12DE33CA"/>
    <w:rsid w:val="12FC274E"/>
    <w:rsid w:val="12FF52DE"/>
    <w:rsid w:val="13063F94"/>
    <w:rsid w:val="13344C16"/>
    <w:rsid w:val="1343505A"/>
    <w:rsid w:val="13544A6B"/>
    <w:rsid w:val="13596CEC"/>
    <w:rsid w:val="135C3AB9"/>
    <w:rsid w:val="136B08B3"/>
    <w:rsid w:val="137A40BD"/>
    <w:rsid w:val="138F4ADA"/>
    <w:rsid w:val="13910B1E"/>
    <w:rsid w:val="13B563DA"/>
    <w:rsid w:val="13BD31AB"/>
    <w:rsid w:val="13CD27B6"/>
    <w:rsid w:val="13E532CA"/>
    <w:rsid w:val="13ED0B0B"/>
    <w:rsid w:val="13ED7D7F"/>
    <w:rsid w:val="13F96221"/>
    <w:rsid w:val="14007100"/>
    <w:rsid w:val="14145A78"/>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45E82"/>
    <w:rsid w:val="14E7787F"/>
    <w:rsid w:val="14F44F2E"/>
    <w:rsid w:val="15416178"/>
    <w:rsid w:val="156100F4"/>
    <w:rsid w:val="1561603B"/>
    <w:rsid w:val="15690DB0"/>
    <w:rsid w:val="157C4BB9"/>
    <w:rsid w:val="15860E6E"/>
    <w:rsid w:val="158F48E5"/>
    <w:rsid w:val="15C94A90"/>
    <w:rsid w:val="15D74588"/>
    <w:rsid w:val="15EB4378"/>
    <w:rsid w:val="15FB4E72"/>
    <w:rsid w:val="160B185E"/>
    <w:rsid w:val="1628036C"/>
    <w:rsid w:val="16435A3F"/>
    <w:rsid w:val="16702D89"/>
    <w:rsid w:val="16704155"/>
    <w:rsid w:val="16796F0F"/>
    <w:rsid w:val="167F1B18"/>
    <w:rsid w:val="1688556A"/>
    <w:rsid w:val="16957DA0"/>
    <w:rsid w:val="16A00FDF"/>
    <w:rsid w:val="16A32AAC"/>
    <w:rsid w:val="16A470C1"/>
    <w:rsid w:val="16AF0615"/>
    <w:rsid w:val="16BD0B49"/>
    <w:rsid w:val="16D50CFC"/>
    <w:rsid w:val="16E33AB3"/>
    <w:rsid w:val="16EB76EF"/>
    <w:rsid w:val="16FF3E1B"/>
    <w:rsid w:val="17141C1D"/>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3E64FF"/>
    <w:rsid w:val="18523ADE"/>
    <w:rsid w:val="18660CD4"/>
    <w:rsid w:val="1866694B"/>
    <w:rsid w:val="186C1ACE"/>
    <w:rsid w:val="18890477"/>
    <w:rsid w:val="188C5B30"/>
    <w:rsid w:val="188C6C7D"/>
    <w:rsid w:val="18960812"/>
    <w:rsid w:val="189C7EF6"/>
    <w:rsid w:val="18B04B4D"/>
    <w:rsid w:val="18C5316D"/>
    <w:rsid w:val="18E87E12"/>
    <w:rsid w:val="18F5052C"/>
    <w:rsid w:val="191D14D9"/>
    <w:rsid w:val="193F6C0E"/>
    <w:rsid w:val="19693EEF"/>
    <w:rsid w:val="196B5F41"/>
    <w:rsid w:val="19A33A02"/>
    <w:rsid w:val="19D1732F"/>
    <w:rsid w:val="19F92180"/>
    <w:rsid w:val="1A001213"/>
    <w:rsid w:val="1A0D4248"/>
    <w:rsid w:val="1A200A74"/>
    <w:rsid w:val="1A2F2398"/>
    <w:rsid w:val="1A3055B8"/>
    <w:rsid w:val="1A5655AF"/>
    <w:rsid w:val="1A6367B9"/>
    <w:rsid w:val="1A6B5CD7"/>
    <w:rsid w:val="1A9B675D"/>
    <w:rsid w:val="1AD153DF"/>
    <w:rsid w:val="1ADE3E70"/>
    <w:rsid w:val="1AE032B7"/>
    <w:rsid w:val="1AE42348"/>
    <w:rsid w:val="1AE5004C"/>
    <w:rsid w:val="1AF2383D"/>
    <w:rsid w:val="1B14214A"/>
    <w:rsid w:val="1B157C1A"/>
    <w:rsid w:val="1B1A6E4B"/>
    <w:rsid w:val="1B211C8A"/>
    <w:rsid w:val="1B325062"/>
    <w:rsid w:val="1B572C7F"/>
    <w:rsid w:val="1B5734B2"/>
    <w:rsid w:val="1B99173F"/>
    <w:rsid w:val="1B9E5782"/>
    <w:rsid w:val="1B9F2F5B"/>
    <w:rsid w:val="1BA31D38"/>
    <w:rsid w:val="1BB15A38"/>
    <w:rsid w:val="1BB32D92"/>
    <w:rsid w:val="1BCA4E13"/>
    <w:rsid w:val="1BD93E58"/>
    <w:rsid w:val="1BE75134"/>
    <w:rsid w:val="1BEB39AC"/>
    <w:rsid w:val="1BEC0DDF"/>
    <w:rsid w:val="1C3C5A93"/>
    <w:rsid w:val="1C3D2E04"/>
    <w:rsid w:val="1C3D5C01"/>
    <w:rsid w:val="1C4852DE"/>
    <w:rsid w:val="1C4D45E0"/>
    <w:rsid w:val="1CB701AA"/>
    <w:rsid w:val="1CCA0F66"/>
    <w:rsid w:val="1CDE446D"/>
    <w:rsid w:val="1CE20210"/>
    <w:rsid w:val="1CE55FB2"/>
    <w:rsid w:val="1D26771C"/>
    <w:rsid w:val="1D2C0BEB"/>
    <w:rsid w:val="1D464FEE"/>
    <w:rsid w:val="1D5D7C71"/>
    <w:rsid w:val="1D644902"/>
    <w:rsid w:val="1D6B1D16"/>
    <w:rsid w:val="1D8C2BA2"/>
    <w:rsid w:val="1D8F6B81"/>
    <w:rsid w:val="1D905228"/>
    <w:rsid w:val="1D9E7BBD"/>
    <w:rsid w:val="1DA777D9"/>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F31D2"/>
    <w:rsid w:val="1EDC2551"/>
    <w:rsid w:val="1EF23920"/>
    <w:rsid w:val="1EF80396"/>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F12135"/>
    <w:rsid w:val="20F90AAC"/>
    <w:rsid w:val="20FA405B"/>
    <w:rsid w:val="210B49FC"/>
    <w:rsid w:val="212B616E"/>
    <w:rsid w:val="213121BA"/>
    <w:rsid w:val="214A2960"/>
    <w:rsid w:val="215302B9"/>
    <w:rsid w:val="215670DE"/>
    <w:rsid w:val="2183462B"/>
    <w:rsid w:val="218E4A09"/>
    <w:rsid w:val="218E6399"/>
    <w:rsid w:val="219C6DDD"/>
    <w:rsid w:val="21DF3292"/>
    <w:rsid w:val="21F14EB0"/>
    <w:rsid w:val="22111157"/>
    <w:rsid w:val="2229623B"/>
    <w:rsid w:val="22477192"/>
    <w:rsid w:val="224C2951"/>
    <w:rsid w:val="227A54E3"/>
    <w:rsid w:val="22865CFC"/>
    <w:rsid w:val="22BD3256"/>
    <w:rsid w:val="22BD4E7D"/>
    <w:rsid w:val="22D07449"/>
    <w:rsid w:val="22E40F3D"/>
    <w:rsid w:val="230B248C"/>
    <w:rsid w:val="231847B8"/>
    <w:rsid w:val="231E3ED2"/>
    <w:rsid w:val="234421C7"/>
    <w:rsid w:val="234D61BE"/>
    <w:rsid w:val="23537C14"/>
    <w:rsid w:val="23700EEA"/>
    <w:rsid w:val="238C42D2"/>
    <w:rsid w:val="2393048F"/>
    <w:rsid w:val="239E3C8F"/>
    <w:rsid w:val="23A06B4E"/>
    <w:rsid w:val="23A40CCF"/>
    <w:rsid w:val="23FA1D01"/>
    <w:rsid w:val="2404601A"/>
    <w:rsid w:val="24351B4F"/>
    <w:rsid w:val="243647BB"/>
    <w:rsid w:val="244C4D68"/>
    <w:rsid w:val="24501237"/>
    <w:rsid w:val="24576A62"/>
    <w:rsid w:val="245E385D"/>
    <w:rsid w:val="246E76BE"/>
    <w:rsid w:val="24762507"/>
    <w:rsid w:val="24863B93"/>
    <w:rsid w:val="24975612"/>
    <w:rsid w:val="249E3719"/>
    <w:rsid w:val="24B346B5"/>
    <w:rsid w:val="24B606B7"/>
    <w:rsid w:val="24D92A69"/>
    <w:rsid w:val="24EC3BCA"/>
    <w:rsid w:val="24EC4ADF"/>
    <w:rsid w:val="24EF6448"/>
    <w:rsid w:val="24F71B8F"/>
    <w:rsid w:val="24F92CDE"/>
    <w:rsid w:val="250C0B5D"/>
    <w:rsid w:val="25335BFF"/>
    <w:rsid w:val="25353A77"/>
    <w:rsid w:val="253D4E51"/>
    <w:rsid w:val="25462DA6"/>
    <w:rsid w:val="25893EFE"/>
    <w:rsid w:val="25B35E6A"/>
    <w:rsid w:val="25BE6749"/>
    <w:rsid w:val="25DE0185"/>
    <w:rsid w:val="25E04003"/>
    <w:rsid w:val="25EE6875"/>
    <w:rsid w:val="25FC664A"/>
    <w:rsid w:val="26056FD7"/>
    <w:rsid w:val="260C334C"/>
    <w:rsid w:val="26276BC7"/>
    <w:rsid w:val="26412189"/>
    <w:rsid w:val="26517452"/>
    <w:rsid w:val="26566E1C"/>
    <w:rsid w:val="2679079E"/>
    <w:rsid w:val="268120E0"/>
    <w:rsid w:val="268B4EFD"/>
    <w:rsid w:val="26A10A64"/>
    <w:rsid w:val="26A24282"/>
    <w:rsid w:val="26BB6790"/>
    <w:rsid w:val="26C84C3F"/>
    <w:rsid w:val="26CA39FA"/>
    <w:rsid w:val="26D85E33"/>
    <w:rsid w:val="26DB2072"/>
    <w:rsid w:val="270B4A30"/>
    <w:rsid w:val="270F1235"/>
    <w:rsid w:val="271D238B"/>
    <w:rsid w:val="273460AC"/>
    <w:rsid w:val="2737495D"/>
    <w:rsid w:val="274E64D1"/>
    <w:rsid w:val="27862FAB"/>
    <w:rsid w:val="278F67DD"/>
    <w:rsid w:val="27B778B7"/>
    <w:rsid w:val="27CE4805"/>
    <w:rsid w:val="27DC01C9"/>
    <w:rsid w:val="27E53287"/>
    <w:rsid w:val="27EA6D62"/>
    <w:rsid w:val="2812047A"/>
    <w:rsid w:val="28151DED"/>
    <w:rsid w:val="28300784"/>
    <w:rsid w:val="28316877"/>
    <w:rsid w:val="283F2A39"/>
    <w:rsid w:val="28630E79"/>
    <w:rsid w:val="289E6725"/>
    <w:rsid w:val="28C0611A"/>
    <w:rsid w:val="28E2641E"/>
    <w:rsid w:val="29027AB4"/>
    <w:rsid w:val="29057EC1"/>
    <w:rsid w:val="290E28AF"/>
    <w:rsid w:val="292011C8"/>
    <w:rsid w:val="29217C5E"/>
    <w:rsid w:val="29313C99"/>
    <w:rsid w:val="293757A5"/>
    <w:rsid w:val="293A1BB5"/>
    <w:rsid w:val="293D0E03"/>
    <w:rsid w:val="293F5958"/>
    <w:rsid w:val="294A094A"/>
    <w:rsid w:val="29864976"/>
    <w:rsid w:val="299E7A8C"/>
    <w:rsid w:val="29C52E87"/>
    <w:rsid w:val="29D9317B"/>
    <w:rsid w:val="29F04EAF"/>
    <w:rsid w:val="29F116D0"/>
    <w:rsid w:val="2A0241CA"/>
    <w:rsid w:val="2A0777DB"/>
    <w:rsid w:val="2A1E7E82"/>
    <w:rsid w:val="2A7D5C08"/>
    <w:rsid w:val="2A832C81"/>
    <w:rsid w:val="2A90033E"/>
    <w:rsid w:val="2AA47786"/>
    <w:rsid w:val="2AAA19F3"/>
    <w:rsid w:val="2AAD65EE"/>
    <w:rsid w:val="2AB23403"/>
    <w:rsid w:val="2AC77380"/>
    <w:rsid w:val="2AD107C6"/>
    <w:rsid w:val="2ADD6AFD"/>
    <w:rsid w:val="2ADE6550"/>
    <w:rsid w:val="2AEA0CBC"/>
    <w:rsid w:val="2AFE0D9C"/>
    <w:rsid w:val="2B186AE3"/>
    <w:rsid w:val="2B2E0309"/>
    <w:rsid w:val="2B422946"/>
    <w:rsid w:val="2B5B34DC"/>
    <w:rsid w:val="2B6D12EE"/>
    <w:rsid w:val="2B76579E"/>
    <w:rsid w:val="2B831E93"/>
    <w:rsid w:val="2B842F73"/>
    <w:rsid w:val="2B885C3B"/>
    <w:rsid w:val="2B964DED"/>
    <w:rsid w:val="2BA57D96"/>
    <w:rsid w:val="2BAE29A1"/>
    <w:rsid w:val="2BBE438D"/>
    <w:rsid w:val="2BD315B0"/>
    <w:rsid w:val="2BE373EE"/>
    <w:rsid w:val="2BFC3156"/>
    <w:rsid w:val="2C0B111C"/>
    <w:rsid w:val="2C295EB9"/>
    <w:rsid w:val="2C35729B"/>
    <w:rsid w:val="2C4628DA"/>
    <w:rsid w:val="2C575DDE"/>
    <w:rsid w:val="2C622710"/>
    <w:rsid w:val="2C7A1A31"/>
    <w:rsid w:val="2C7C7D79"/>
    <w:rsid w:val="2C83115A"/>
    <w:rsid w:val="2C9466E2"/>
    <w:rsid w:val="2CAF6B04"/>
    <w:rsid w:val="2CB0279E"/>
    <w:rsid w:val="2CD12AE5"/>
    <w:rsid w:val="2CF257FA"/>
    <w:rsid w:val="2D310CA2"/>
    <w:rsid w:val="2D3A323B"/>
    <w:rsid w:val="2D4B55E5"/>
    <w:rsid w:val="2D4C0E6E"/>
    <w:rsid w:val="2D53589F"/>
    <w:rsid w:val="2D7646A7"/>
    <w:rsid w:val="2D926963"/>
    <w:rsid w:val="2DB30550"/>
    <w:rsid w:val="2DDA7850"/>
    <w:rsid w:val="2DDC0104"/>
    <w:rsid w:val="2DE379BB"/>
    <w:rsid w:val="2DE47EFE"/>
    <w:rsid w:val="2E0177B9"/>
    <w:rsid w:val="2E034F95"/>
    <w:rsid w:val="2E090F9F"/>
    <w:rsid w:val="2E1D2BF2"/>
    <w:rsid w:val="2E2336D4"/>
    <w:rsid w:val="2E3B2A47"/>
    <w:rsid w:val="2E6003A4"/>
    <w:rsid w:val="2E69729D"/>
    <w:rsid w:val="2E6A2F38"/>
    <w:rsid w:val="2E8543E2"/>
    <w:rsid w:val="2E8C35B6"/>
    <w:rsid w:val="2E9045E4"/>
    <w:rsid w:val="2E9B575E"/>
    <w:rsid w:val="2EB50951"/>
    <w:rsid w:val="2EB673FD"/>
    <w:rsid w:val="2EB809B1"/>
    <w:rsid w:val="2EB81831"/>
    <w:rsid w:val="2ECF7A85"/>
    <w:rsid w:val="2EE054B3"/>
    <w:rsid w:val="2EEB0155"/>
    <w:rsid w:val="2EFA0186"/>
    <w:rsid w:val="2F082BB8"/>
    <w:rsid w:val="2F0F048D"/>
    <w:rsid w:val="2F210BC3"/>
    <w:rsid w:val="2F2B5ABF"/>
    <w:rsid w:val="2F2E604D"/>
    <w:rsid w:val="2F417886"/>
    <w:rsid w:val="2F5D2DA3"/>
    <w:rsid w:val="2F882E85"/>
    <w:rsid w:val="2F9A7F4A"/>
    <w:rsid w:val="2F9E15E7"/>
    <w:rsid w:val="2FC733B8"/>
    <w:rsid w:val="2FCA4F20"/>
    <w:rsid w:val="300C4C70"/>
    <w:rsid w:val="303371BB"/>
    <w:rsid w:val="3044399D"/>
    <w:rsid w:val="30470846"/>
    <w:rsid w:val="30487E8C"/>
    <w:rsid w:val="305868C6"/>
    <w:rsid w:val="305B1097"/>
    <w:rsid w:val="306445C1"/>
    <w:rsid w:val="306F3DBA"/>
    <w:rsid w:val="308640A9"/>
    <w:rsid w:val="30896C6B"/>
    <w:rsid w:val="30B504DB"/>
    <w:rsid w:val="30D0377D"/>
    <w:rsid w:val="30D1717F"/>
    <w:rsid w:val="30D2261F"/>
    <w:rsid w:val="30DE0226"/>
    <w:rsid w:val="30F50A2A"/>
    <w:rsid w:val="31007D5E"/>
    <w:rsid w:val="31115223"/>
    <w:rsid w:val="31263645"/>
    <w:rsid w:val="31442CD4"/>
    <w:rsid w:val="31445B9B"/>
    <w:rsid w:val="316B13D5"/>
    <w:rsid w:val="31720F1D"/>
    <w:rsid w:val="31745B98"/>
    <w:rsid w:val="317A7F18"/>
    <w:rsid w:val="317E525C"/>
    <w:rsid w:val="319951C3"/>
    <w:rsid w:val="31B97BA0"/>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3E0092"/>
    <w:rsid w:val="33482976"/>
    <w:rsid w:val="33506C9F"/>
    <w:rsid w:val="3372466D"/>
    <w:rsid w:val="33775E05"/>
    <w:rsid w:val="338574F9"/>
    <w:rsid w:val="33A078AB"/>
    <w:rsid w:val="33A222F8"/>
    <w:rsid w:val="33B85C62"/>
    <w:rsid w:val="33B90357"/>
    <w:rsid w:val="33C3614F"/>
    <w:rsid w:val="33D62B96"/>
    <w:rsid w:val="33E32DB1"/>
    <w:rsid w:val="33FF18B6"/>
    <w:rsid w:val="33FF7460"/>
    <w:rsid w:val="344127C5"/>
    <w:rsid w:val="34526E6E"/>
    <w:rsid w:val="345B1895"/>
    <w:rsid w:val="3463085A"/>
    <w:rsid w:val="3485590E"/>
    <w:rsid w:val="34946C2E"/>
    <w:rsid w:val="34A24AD6"/>
    <w:rsid w:val="34C04708"/>
    <w:rsid w:val="34D46D17"/>
    <w:rsid w:val="34FD5844"/>
    <w:rsid w:val="35280DED"/>
    <w:rsid w:val="35463167"/>
    <w:rsid w:val="35665ADB"/>
    <w:rsid w:val="35816EB9"/>
    <w:rsid w:val="35821E3D"/>
    <w:rsid w:val="359F5261"/>
    <w:rsid w:val="35B35F81"/>
    <w:rsid w:val="35C2434B"/>
    <w:rsid w:val="35F421D8"/>
    <w:rsid w:val="35FE7215"/>
    <w:rsid w:val="35FF2DF2"/>
    <w:rsid w:val="36000F59"/>
    <w:rsid w:val="3600703E"/>
    <w:rsid w:val="360B232F"/>
    <w:rsid w:val="361D59BA"/>
    <w:rsid w:val="36247CCA"/>
    <w:rsid w:val="36280FB0"/>
    <w:rsid w:val="36400759"/>
    <w:rsid w:val="364225B8"/>
    <w:rsid w:val="364B4F18"/>
    <w:rsid w:val="36544E83"/>
    <w:rsid w:val="36601F32"/>
    <w:rsid w:val="367B06EC"/>
    <w:rsid w:val="36A57135"/>
    <w:rsid w:val="36AF0D32"/>
    <w:rsid w:val="36C5766F"/>
    <w:rsid w:val="36D704F3"/>
    <w:rsid w:val="36E90250"/>
    <w:rsid w:val="36ED465C"/>
    <w:rsid w:val="36F13515"/>
    <w:rsid w:val="370058B6"/>
    <w:rsid w:val="37066B46"/>
    <w:rsid w:val="37131885"/>
    <w:rsid w:val="37556EFB"/>
    <w:rsid w:val="37634C0D"/>
    <w:rsid w:val="37635AA2"/>
    <w:rsid w:val="376D038A"/>
    <w:rsid w:val="378D4EC4"/>
    <w:rsid w:val="379127D4"/>
    <w:rsid w:val="37A50A44"/>
    <w:rsid w:val="37B01FC8"/>
    <w:rsid w:val="37D735B7"/>
    <w:rsid w:val="37F7211A"/>
    <w:rsid w:val="37FD2BB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2245B5"/>
    <w:rsid w:val="39235BBC"/>
    <w:rsid w:val="393D721A"/>
    <w:rsid w:val="393F0F59"/>
    <w:rsid w:val="394A6B61"/>
    <w:rsid w:val="394F360B"/>
    <w:rsid w:val="39825EF1"/>
    <w:rsid w:val="398636A1"/>
    <w:rsid w:val="39897949"/>
    <w:rsid w:val="399D7118"/>
    <w:rsid w:val="39BC5220"/>
    <w:rsid w:val="39D879D3"/>
    <w:rsid w:val="39E245E4"/>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62C4D"/>
    <w:rsid w:val="3B937719"/>
    <w:rsid w:val="3B942B73"/>
    <w:rsid w:val="3B9674D7"/>
    <w:rsid w:val="3BA20424"/>
    <w:rsid w:val="3BB335AC"/>
    <w:rsid w:val="3BC165FE"/>
    <w:rsid w:val="3BD3067E"/>
    <w:rsid w:val="3BD53AB5"/>
    <w:rsid w:val="3BEF40B2"/>
    <w:rsid w:val="3BFF61D4"/>
    <w:rsid w:val="3C0104C3"/>
    <w:rsid w:val="3C054F49"/>
    <w:rsid w:val="3C262C87"/>
    <w:rsid w:val="3C2F0719"/>
    <w:rsid w:val="3C3C39A0"/>
    <w:rsid w:val="3C5A7EF6"/>
    <w:rsid w:val="3C804923"/>
    <w:rsid w:val="3C9A21AA"/>
    <w:rsid w:val="3C9D3765"/>
    <w:rsid w:val="3C9E0FAA"/>
    <w:rsid w:val="3CA30947"/>
    <w:rsid w:val="3CB85542"/>
    <w:rsid w:val="3CC000F8"/>
    <w:rsid w:val="3CDF3D10"/>
    <w:rsid w:val="3D277613"/>
    <w:rsid w:val="3D2F2FAD"/>
    <w:rsid w:val="3D3C5369"/>
    <w:rsid w:val="3D66205D"/>
    <w:rsid w:val="3D6D5EA9"/>
    <w:rsid w:val="3D7004A1"/>
    <w:rsid w:val="3D7849C8"/>
    <w:rsid w:val="3D7F1E88"/>
    <w:rsid w:val="3DA54021"/>
    <w:rsid w:val="3DAF13C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7637C"/>
    <w:rsid w:val="3EDF0CF3"/>
    <w:rsid w:val="3EE8557E"/>
    <w:rsid w:val="3EED740D"/>
    <w:rsid w:val="3F16680E"/>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F35E75"/>
    <w:rsid w:val="400479C3"/>
    <w:rsid w:val="40404B79"/>
    <w:rsid w:val="404358BE"/>
    <w:rsid w:val="40797278"/>
    <w:rsid w:val="408E3720"/>
    <w:rsid w:val="40912007"/>
    <w:rsid w:val="409B357D"/>
    <w:rsid w:val="409F5F96"/>
    <w:rsid w:val="40BC2DF7"/>
    <w:rsid w:val="40CE14CF"/>
    <w:rsid w:val="40CF6877"/>
    <w:rsid w:val="40E86C9E"/>
    <w:rsid w:val="40F347AB"/>
    <w:rsid w:val="40F83F72"/>
    <w:rsid w:val="411713CA"/>
    <w:rsid w:val="411A6663"/>
    <w:rsid w:val="412D5086"/>
    <w:rsid w:val="416E59E3"/>
    <w:rsid w:val="417C4EC1"/>
    <w:rsid w:val="41A664B7"/>
    <w:rsid w:val="41B601E7"/>
    <w:rsid w:val="41CF3C25"/>
    <w:rsid w:val="41D84BC1"/>
    <w:rsid w:val="41DF5CBF"/>
    <w:rsid w:val="41EB174A"/>
    <w:rsid w:val="42226713"/>
    <w:rsid w:val="422B2BA1"/>
    <w:rsid w:val="4231785A"/>
    <w:rsid w:val="4235332E"/>
    <w:rsid w:val="42584818"/>
    <w:rsid w:val="427E48C1"/>
    <w:rsid w:val="42926048"/>
    <w:rsid w:val="429B6E22"/>
    <w:rsid w:val="429C6B61"/>
    <w:rsid w:val="42BF4C55"/>
    <w:rsid w:val="42C845D8"/>
    <w:rsid w:val="42F91034"/>
    <w:rsid w:val="42F966EF"/>
    <w:rsid w:val="43110D0F"/>
    <w:rsid w:val="43262E27"/>
    <w:rsid w:val="434841F7"/>
    <w:rsid w:val="434D6B99"/>
    <w:rsid w:val="437F792B"/>
    <w:rsid w:val="43BE214E"/>
    <w:rsid w:val="43ED298C"/>
    <w:rsid w:val="43EF2991"/>
    <w:rsid w:val="43F4696E"/>
    <w:rsid w:val="44465742"/>
    <w:rsid w:val="44597BEE"/>
    <w:rsid w:val="447A4753"/>
    <w:rsid w:val="44A70E24"/>
    <w:rsid w:val="44DD300E"/>
    <w:rsid w:val="44E2656D"/>
    <w:rsid w:val="44F11452"/>
    <w:rsid w:val="45177BA4"/>
    <w:rsid w:val="451C551F"/>
    <w:rsid w:val="451F3CCA"/>
    <w:rsid w:val="45341196"/>
    <w:rsid w:val="45493A4F"/>
    <w:rsid w:val="454E4188"/>
    <w:rsid w:val="45727755"/>
    <w:rsid w:val="45965757"/>
    <w:rsid w:val="45BA5028"/>
    <w:rsid w:val="45BF44B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866FB"/>
    <w:rsid w:val="472022E1"/>
    <w:rsid w:val="472D3683"/>
    <w:rsid w:val="473B416A"/>
    <w:rsid w:val="473B7E9E"/>
    <w:rsid w:val="47403AF2"/>
    <w:rsid w:val="47453C8F"/>
    <w:rsid w:val="475B3378"/>
    <w:rsid w:val="4766347D"/>
    <w:rsid w:val="47715F93"/>
    <w:rsid w:val="478D4609"/>
    <w:rsid w:val="478D6A12"/>
    <w:rsid w:val="47962309"/>
    <w:rsid w:val="47A32AF0"/>
    <w:rsid w:val="47AF032C"/>
    <w:rsid w:val="47BA0CEF"/>
    <w:rsid w:val="47E549D2"/>
    <w:rsid w:val="47EA4D37"/>
    <w:rsid w:val="47EC146A"/>
    <w:rsid w:val="48334280"/>
    <w:rsid w:val="48386782"/>
    <w:rsid w:val="48406A1E"/>
    <w:rsid w:val="48455013"/>
    <w:rsid w:val="484B7369"/>
    <w:rsid w:val="487274B4"/>
    <w:rsid w:val="48811612"/>
    <w:rsid w:val="488818E0"/>
    <w:rsid w:val="48A06AAE"/>
    <w:rsid w:val="48E06989"/>
    <w:rsid w:val="48E92C88"/>
    <w:rsid w:val="48EB1D85"/>
    <w:rsid w:val="494C141C"/>
    <w:rsid w:val="4954359E"/>
    <w:rsid w:val="49720597"/>
    <w:rsid w:val="49821D8D"/>
    <w:rsid w:val="4987544D"/>
    <w:rsid w:val="49AE3D92"/>
    <w:rsid w:val="49BF2772"/>
    <w:rsid w:val="49C15E4E"/>
    <w:rsid w:val="49C47EBE"/>
    <w:rsid w:val="49C55CAD"/>
    <w:rsid w:val="49C63BBF"/>
    <w:rsid w:val="49CA225D"/>
    <w:rsid w:val="49D270B8"/>
    <w:rsid w:val="4A1203E3"/>
    <w:rsid w:val="4A3C31F7"/>
    <w:rsid w:val="4A863FBD"/>
    <w:rsid w:val="4A892CB4"/>
    <w:rsid w:val="4AA927DF"/>
    <w:rsid w:val="4AB450E7"/>
    <w:rsid w:val="4AB7011B"/>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8D553B"/>
    <w:rsid w:val="4C904700"/>
    <w:rsid w:val="4C983FA4"/>
    <w:rsid w:val="4C9A5F96"/>
    <w:rsid w:val="4C9B7DE3"/>
    <w:rsid w:val="4CA178A3"/>
    <w:rsid w:val="4CA9023C"/>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BB336E"/>
    <w:rsid w:val="4DBE6815"/>
    <w:rsid w:val="4DF67531"/>
    <w:rsid w:val="4DF9062B"/>
    <w:rsid w:val="4E014EF8"/>
    <w:rsid w:val="4E066E93"/>
    <w:rsid w:val="4E075658"/>
    <w:rsid w:val="4E1D7E77"/>
    <w:rsid w:val="4E236A05"/>
    <w:rsid w:val="4E51451A"/>
    <w:rsid w:val="4EDE397C"/>
    <w:rsid w:val="4EF614BA"/>
    <w:rsid w:val="4EF62402"/>
    <w:rsid w:val="4F087D26"/>
    <w:rsid w:val="4F35630A"/>
    <w:rsid w:val="4F362E18"/>
    <w:rsid w:val="4F497B36"/>
    <w:rsid w:val="4F540B41"/>
    <w:rsid w:val="4F547EAA"/>
    <w:rsid w:val="4F832885"/>
    <w:rsid w:val="4F9039FE"/>
    <w:rsid w:val="4FE02223"/>
    <w:rsid w:val="50437224"/>
    <w:rsid w:val="50490678"/>
    <w:rsid w:val="505A512C"/>
    <w:rsid w:val="5089260D"/>
    <w:rsid w:val="50895295"/>
    <w:rsid w:val="5098572F"/>
    <w:rsid w:val="50B30840"/>
    <w:rsid w:val="50B906DF"/>
    <w:rsid w:val="50C31573"/>
    <w:rsid w:val="50CD17A2"/>
    <w:rsid w:val="50F018D3"/>
    <w:rsid w:val="50F47A17"/>
    <w:rsid w:val="50FE3997"/>
    <w:rsid w:val="511A3CB8"/>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7E0DBE"/>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D68D9"/>
    <w:rsid w:val="546F7A15"/>
    <w:rsid w:val="54871B54"/>
    <w:rsid w:val="549F3EDE"/>
    <w:rsid w:val="54AA3CD9"/>
    <w:rsid w:val="54B76615"/>
    <w:rsid w:val="54BD3C5D"/>
    <w:rsid w:val="54D31B63"/>
    <w:rsid w:val="54EA3219"/>
    <w:rsid w:val="54F1392A"/>
    <w:rsid w:val="550118A5"/>
    <w:rsid w:val="554860F4"/>
    <w:rsid w:val="55582F0D"/>
    <w:rsid w:val="557A16A0"/>
    <w:rsid w:val="559A22C4"/>
    <w:rsid w:val="559C2F3F"/>
    <w:rsid w:val="559F228F"/>
    <w:rsid w:val="55B54251"/>
    <w:rsid w:val="55D00DC0"/>
    <w:rsid w:val="55E8090D"/>
    <w:rsid w:val="562A1609"/>
    <w:rsid w:val="563F74A4"/>
    <w:rsid w:val="566B53D2"/>
    <w:rsid w:val="56715C12"/>
    <w:rsid w:val="567B1141"/>
    <w:rsid w:val="5681373E"/>
    <w:rsid w:val="56991451"/>
    <w:rsid w:val="569A3398"/>
    <w:rsid w:val="56AD7471"/>
    <w:rsid w:val="56DF589B"/>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4410CC"/>
    <w:rsid w:val="585712B7"/>
    <w:rsid w:val="58603614"/>
    <w:rsid w:val="58615E6E"/>
    <w:rsid w:val="58635793"/>
    <w:rsid w:val="588C11D6"/>
    <w:rsid w:val="58C16B43"/>
    <w:rsid w:val="58EF47AD"/>
    <w:rsid w:val="59033141"/>
    <w:rsid w:val="59052CF7"/>
    <w:rsid w:val="592A36F8"/>
    <w:rsid w:val="59477195"/>
    <w:rsid w:val="59491402"/>
    <w:rsid w:val="594F0C2A"/>
    <w:rsid w:val="594F459C"/>
    <w:rsid w:val="595C25C6"/>
    <w:rsid w:val="595F13E9"/>
    <w:rsid w:val="59785D4E"/>
    <w:rsid w:val="597E2527"/>
    <w:rsid w:val="599D32C2"/>
    <w:rsid w:val="59A84CD5"/>
    <w:rsid w:val="59AB0581"/>
    <w:rsid w:val="59B15565"/>
    <w:rsid w:val="59CA0DF6"/>
    <w:rsid w:val="59CD2536"/>
    <w:rsid w:val="59D05539"/>
    <w:rsid w:val="59E12D2E"/>
    <w:rsid w:val="59E56E97"/>
    <w:rsid w:val="59EE0B0E"/>
    <w:rsid w:val="59EF52ED"/>
    <w:rsid w:val="59F378E0"/>
    <w:rsid w:val="5A004CBF"/>
    <w:rsid w:val="5A03208B"/>
    <w:rsid w:val="5A1B27B8"/>
    <w:rsid w:val="5A41505E"/>
    <w:rsid w:val="5A60385B"/>
    <w:rsid w:val="5AC608F3"/>
    <w:rsid w:val="5ACA2411"/>
    <w:rsid w:val="5ADC35E7"/>
    <w:rsid w:val="5AE31485"/>
    <w:rsid w:val="5AF626D8"/>
    <w:rsid w:val="5AF62900"/>
    <w:rsid w:val="5AFC40F3"/>
    <w:rsid w:val="5B053218"/>
    <w:rsid w:val="5B0D46E9"/>
    <w:rsid w:val="5B172957"/>
    <w:rsid w:val="5B22062D"/>
    <w:rsid w:val="5B241C6D"/>
    <w:rsid w:val="5B2B355B"/>
    <w:rsid w:val="5B3E3090"/>
    <w:rsid w:val="5B413ED9"/>
    <w:rsid w:val="5B736DFC"/>
    <w:rsid w:val="5B74248A"/>
    <w:rsid w:val="5B7C3A7D"/>
    <w:rsid w:val="5B8675CA"/>
    <w:rsid w:val="5BA652CD"/>
    <w:rsid w:val="5BC57EBB"/>
    <w:rsid w:val="5BDA1A02"/>
    <w:rsid w:val="5BDA3815"/>
    <w:rsid w:val="5C0A6081"/>
    <w:rsid w:val="5C100E26"/>
    <w:rsid w:val="5C4C3CC9"/>
    <w:rsid w:val="5C5C59BB"/>
    <w:rsid w:val="5C6A1E8C"/>
    <w:rsid w:val="5C6F3AA2"/>
    <w:rsid w:val="5C85298F"/>
    <w:rsid w:val="5C880C4D"/>
    <w:rsid w:val="5CDC5778"/>
    <w:rsid w:val="5CE70DB3"/>
    <w:rsid w:val="5CF20C05"/>
    <w:rsid w:val="5CF617C9"/>
    <w:rsid w:val="5D047EE8"/>
    <w:rsid w:val="5D110C61"/>
    <w:rsid w:val="5D126228"/>
    <w:rsid w:val="5D1949C1"/>
    <w:rsid w:val="5D1B0F43"/>
    <w:rsid w:val="5D1F3C0E"/>
    <w:rsid w:val="5D3734F1"/>
    <w:rsid w:val="5D3A42DC"/>
    <w:rsid w:val="5D423265"/>
    <w:rsid w:val="5D8C67DF"/>
    <w:rsid w:val="5DCE771F"/>
    <w:rsid w:val="5DD3556C"/>
    <w:rsid w:val="5DD81E67"/>
    <w:rsid w:val="5DE6704B"/>
    <w:rsid w:val="5DEC3B70"/>
    <w:rsid w:val="5DF84369"/>
    <w:rsid w:val="5DF92DCB"/>
    <w:rsid w:val="5E091FB5"/>
    <w:rsid w:val="5E177160"/>
    <w:rsid w:val="5E277D80"/>
    <w:rsid w:val="5E280CB5"/>
    <w:rsid w:val="5E4130FC"/>
    <w:rsid w:val="5E447267"/>
    <w:rsid w:val="5E4A572D"/>
    <w:rsid w:val="5E5667A6"/>
    <w:rsid w:val="5E676802"/>
    <w:rsid w:val="5E6C7C78"/>
    <w:rsid w:val="5E72699B"/>
    <w:rsid w:val="5E7C080F"/>
    <w:rsid w:val="5E815CED"/>
    <w:rsid w:val="5E887A26"/>
    <w:rsid w:val="5EA35CFD"/>
    <w:rsid w:val="5EAC0CC5"/>
    <w:rsid w:val="5EB75E1B"/>
    <w:rsid w:val="5EC56393"/>
    <w:rsid w:val="5EF078DD"/>
    <w:rsid w:val="5EF62DCD"/>
    <w:rsid w:val="5EFB0071"/>
    <w:rsid w:val="5EFE34A1"/>
    <w:rsid w:val="5F173FD8"/>
    <w:rsid w:val="5F3262F4"/>
    <w:rsid w:val="5F5C27E5"/>
    <w:rsid w:val="5F6938A8"/>
    <w:rsid w:val="5F6E2815"/>
    <w:rsid w:val="5F7C06D8"/>
    <w:rsid w:val="5F7F4DB5"/>
    <w:rsid w:val="5F9B33CA"/>
    <w:rsid w:val="5F9E02EC"/>
    <w:rsid w:val="5FA1081C"/>
    <w:rsid w:val="5FD9462B"/>
    <w:rsid w:val="5FE061B9"/>
    <w:rsid w:val="5FEB5761"/>
    <w:rsid w:val="5FFB6305"/>
    <w:rsid w:val="60011320"/>
    <w:rsid w:val="60267D5D"/>
    <w:rsid w:val="603369D2"/>
    <w:rsid w:val="604100BA"/>
    <w:rsid w:val="6057025C"/>
    <w:rsid w:val="606F133D"/>
    <w:rsid w:val="607B07D5"/>
    <w:rsid w:val="60916901"/>
    <w:rsid w:val="60993336"/>
    <w:rsid w:val="609949E1"/>
    <w:rsid w:val="60A27DAC"/>
    <w:rsid w:val="60B91733"/>
    <w:rsid w:val="60E34759"/>
    <w:rsid w:val="610B115D"/>
    <w:rsid w:val="61120121"/>
    <w:rsid w:val="612650A2"/>
    <w:rsid w:val="61275225"/>
    <w:rsid w:val="614041D7"/>
    <w:rsid w:val="61552A82"/>
    <w:rsid w:val="616C655B"/>
    <w:rsid w:val="616E381D"/>
    <w:rsid w:val="61A21ED5"/>
    <w:rsid w:val="61BA5EFD"/>
    <w:rsid w:val="61C31674"/>
    <w:rsid w:val="61C7660C"/>
    <w:rsid w:val="61D81BE2"/>
    <w:rsid w:val="61E93AD6"/>
    <w:rsid w:val="620100B1"/>
    <w:rsid w:val="62190F45"/>
    <w:rsid w:val="62193B80"/>
    <w:rsid w:val="621B4181"/>
    <w:rsid w:val="62216BE1"/>
    <w:rsid w:val="62353B47"/>
    <w:rsid w:val="624076D6"/>
    <w:rsid w:val="62474646"/>
    <w:rsid w:val="62511DE0"/>
    <w:rsid w:val="628C53F9"/>
    <w:rsid w:val="62937829"/>
    <w:rsid w:val="62A20B07"/>
    <w:rsid w:val="62A414E0"/>
    <w:rsid w:val="62BA5904"/>
    <w:rsid w:val="62CC77CB"/>
    <w:rsid w:val="62F3784F"/>
    <w:rsid w:val="62FF3FB5"/>
    <w:rsid w:val="63021DE2"/>
    <w:rsid w:val="63112339"/>
    <w:rsid w:val="632C21E9"/>
    <w:rsid w:val="632C2662"/>
    <w:rsid w:val="633A0F04"/>
    <w:rsid w:val="6340127C"/>
    <w:rsid w:val="63654FE0"/>
    <w:rsid w:val="63AA5332"/>
    <w:rsid w:val="63C61233"/>
    <w:rsid w:val="63FF6AFB"/>
    <w:rsid w:val="64142736"/>
    <w:rsid w:val="642A2A58"/>
    <w:rsid w:val="64391A57"/>
    <w:rsid w:val="64585109"/>
    <w:rsid w:val="645F7031"/>
    <w:rsid w:val="64881679"/>
    <w:rsid w:val="649F7EFD"/>
    <w:rsid w:val="64A67ACD"/>
    <w:rsid w:val="64B23DB4"/>
    <w:rsid w:val="64B55A95"/>
    <w:rsid w:val="64B64B66"/>
    <w:rsid w:val="64B86E2A"/>
    <w:rsid w:val="64C12A40"/>
    <w:rsid w:val="64C15487"/>
    <w:rsid w:val="64C51685"/>
    <w:rsid w:val="64E20F48"/>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D04B5E"/>
    <w:rsid w:val="66D60DB1"/>
    <w:rsid w:val="66E561D8"/>
    <w:rsid w:val="66F00AF0"/>
    <w:rsid w:val="6700750E"/>
    <w:rsid w:val="672F7A26"/>
    <w:rsid w:val="67580868"/>
    <w:rsid w:val="67610EFA"/>
    <w:rsid w:val="678D5B85"/>
    <w:rsid w:val="67904419"/>
    <w:rsid w:val="67995A29"/>
    <w:rsid w:val="67A00193"/>
    <w:rsid w:val="67AB2B05"/>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517C19"/>
    <w:rsid w:val="6C547454"/>
    <w:rsid w:val="6C5648D5"/>
    <w:rsid w:val="6C740601"/>
    <w:rsid w:val="6C842DAB"/>
    <w:rsid w:val="6C8A5474"/>
    <w:rsid w:val="6CD85C69"/>
    <w:rsid w:val="6D464DCC"/>
    <w:rsid w:val="6D616216"/>
    <w:rsid w:val="6D932C97"/>
    <w:rsid w:val="6DA225C5"/>
    <w:rsid w:val="6DB630F7"/>
    <w:rsid w:val="6DBF57D4"/>
    <w:rsid w:val="6DDE3C2C"/>
    <w:rsid w:val="6E04099A"/>
    <w:rsid w:val="6E0E61FC"/>
    <w:rsid w:val="6E3101C1"/>
    <w:rsid w:val="6E451A64"/>
    <w:rsid w:val="6E62428C"/>
    <w:rsid w:val="6E67698D"/>
    <w:rsid w:val="6E6839F7"/>
    <w:rsid w:val="6E733F82"/>
    <w:rsid w:val="6E874489"/>
    <w:rsid w:val="6E960A52"/>
    <w:rsid w:val="6EA0744D"/>
    <w:rsid w:val="6EA3291D"/>
    <w:rsid w:val="6EA67504"/>
    <w:rsid w:val="6EC70C19"/>
    <w:rsid w:val="6EDD75A0"/>
    <w:rsid w:val="6EE73EE7"/>
    <w:rsid w:val="6F0D2298"/>
    <w:rsid w:val="6F145E1F"/>
    <w:rsid w:val="6F276C23"/>
    <w:rsid w:val="6F37324B"/>
    <w:rsid w:val="6F3C4AB1"/>
    <w:rsid w:val="6F4B77AB"/>
    <w:rsid w:val="6F59783E"/>
    <w:rsid w:val="6F5A407F"/>
    <w:rsid w:val="6F9045BD"/>
    <w:rsid w:val="6F991282"/>
    <w:rsid w:val="6F9A4BFC"/>
    <w:rsid w:val="6FAD4095"/>
    <w:rsid w:val="6FB963FA"/>
    <w:rsid w:val="6FD04172"/>
    <w:rsid w:val="6FD071A2"/>
    <w:rsid w:val="6FD57D31"/>
    <w:rsid w:val="6FD969D9"/>
    <w:rsid w:val="6FDF42CC"/>
    <w:rsid w:val="700A32D4"/>
    <w:rsid w:val="70143D7F"/>
    <w:rsid w:val="701C1D8A"/>
    <w:rsid w:val="70394E16"/>
    <w:rsid w:val="703B2856"/>
    <w:rsid w:val="70512274"/>
    <w:rsid w:val="707136A0"/>
    <w:rsid w:val="7071512F"/>
    <w:rsid w:val="70836044"/>
    <w:rsid w:val="70963635"/>
    <w:rsid w:val="709E757C"/>
    <w:rsid w:val="70AB6982"/>
    <w:rsid w:val="70B960E4"/>
    <w:rsid w:val="70BD0161"/>
    <w:rsid w:val="70CE2945"/>
    <w:rsid w:val="70E03E42"/>
    <w:rsid w:val="70F63ED7"/>
    <w:rsid w:val="710003A8"/>
    <w:rsid w:val="710376A0"/>
    <w:rsid w:val="710F0BB8"/>
    <w:rsid w:val="71194261"/>
    <w:rsid w:val="711C5BB5"/>
    <w:rsid w:val="71375D39"/>
    <w:rsid w:val="7144689C"/>
    <w:rsid w:val="714872A8"/>
    <w:rsid w:val="717E5F2F"/>
    <w:rsid w:val="71885178"/>
    <w:rsid w:val="718B15C7"/>
    <w:rsid w:val="71B2274D"/>
    <w:rsid w:val="71BF4E45"/>
    <w:rsid w:val="71C20258"/>
    <w:rsid w:val="71C43B20"/>
    <w:rsid w:val="71CC7EBE"/>
    <w:rsid w:val="71D20555"/>
    <w:rsid w:val="71D43EDC"/>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707FD"/>
    <w:rsid w:val="727E25B6"/>
    <w:rsid w:val="72931EAF"/>
    <w:rsid w:val="729B43C7"/>
    <w:rsid w:val="729B556A"/>
    <w:rsid w:val="72A264DB"/>
    <w:rsid w:val="72AA2B66"/>
    <w:rsid w:val="72BD48D1"/>
    <w:rsid w:val="72C65D78"/>
    <w:rsid w:val="72D7336E"/>
    <w:rsid w:val="72FD0906"/>
    <w:rsid w:val="7313580C"/>
    <w:rsid w:val="73300890"/>
    <w:rsid w:val="7339443F"/>
    <w:rsid w:val="73795D74"/>
    <w:rsid w:val="739509FA"/>
    <w:rsid w:val="73A80755"/>
    <w:rsid w:val="73B95A8A"/>
    <w:rsid w:val="73C4164C"/>
    <w:rsid w:val="73CC653A"/>
    <w:rsid w:val="73D159A1"/>
    <w:rsid w:val="73D217D6"/>
    <w:rsid w:val="73D87B8E"/>
    <w:rsid w:val="73F35C20"/>
    <w:rsid w:val="73F8462A"/>
    <w:rsid w:val="741D2D43"/>
    <w:rsid w:val="745F4062"/>
    <w:rsid w:val="74D97110"/>
    <w:rsid w:val="74DF558B"/>
    <w:rsid w:val="74EE1D1B"/>
    <w:rsid w:val="74F826B3"/>
    <w:rsid w:val="75014572"/>
    <w:rsid w:val="75067D82"/>
    <w:rsid w:val="75101474"/>
    <w:rsid w:val="75152359"/>
    <w:rsid w:val="752955C7"/>
    <w:rsid w:val="75473AB6"/>
    <w:rsid w:val="755A639D"/>
    <w:rsid w:val="75612341"/>
    <w:rsid w:val="757F698C"/>
    <w:rsid w:val="75882465"/>
    <w:rsid w:val="75913AD5"/>
    <w:rsid w:val="75AB03F6"/>
    <w:rsid w:val="75CA48E7"/>
    <w:rsid w:val="75E027FD"/>
    <w:rsid w:val="761A210B"/>
    <w:rsid w:val="76351D9E"/>
    <w:rsid w:val="765629A7"/>
    <w:rsid w:val="76752691"/>
    <w:rsid w:val="76924971"/>
    <w:rsid w:val="76933E2E"/>
    <w:rsid w:val="76A27B4C"/>
    <w:rsid w:val="76A61832"/>
    <w:rsid w:val="76B918A6"/>
    <w:rsid w:val="76BC587C"/>
    <w:rsid w:val="76BF7808"/>
    <w:rsid w:val="76C00AFC"/>
    <w:rsid w:val="76C07136"/>
    <w:rsid w:val="76ED1347"/>
    <w:rsid w:val="76F01FDD"/>
    <w:rsid w:val="76F433E8"/>
    <w:rsid w:val="771946D8"/>
    <w:rsid w:val="772268FD"/>
    <w:rsid w:val="77474684"/>
    <w:rsid w:val="775666E2"/>
    <w:rsid w:val="77653ACC"/>
    <w:rsid w:val="77747DD3"/>
    <w:rsid w:val="77A82770"/>
    <w:rsid w:val="77BD7E72"/>
    <w:rsid w:val="77ED0386"/>
    <w:rsid w:val="77F72469"/>
    <w:rsid w:val="77F854D4"/>
    <w:rsid w:val="78065036"/>
    <w:rsid w:val="780D5CB6"/>
    <w:rsid w:val="78366B8C"/>
    <w:rsid w:val="783B287A"/>
    <w:rsid w:val="78482C69"/>
    <w:rsid w:val="785E7689"/>
    <w:rsid w:val="788249B9"/>
    <w:rsid w:val="78886D15"/>
    <w:rsid w:val="78B2035E"/>
    <w:rsid w:val="78B43B82"/>
    <w:rsid w:val="78B57D9C"/>
    <w:rsid w:val="78BB76EA"/>
    <w:rsid w:val="78E26C73"/>
    <w:rsid w:val="78E76B0F"/>
    <w:rsid w:val="78F65C61"/>
    <w:rsid w:val="78FB1BD1"/>
    <w:rsid w:val="79213328"/>
    <w:rsid w:val="7964511F"/>
    <w:rsid w:val="79824E81"/>
    <w:rsid w:val="79956A1C"/>
    <w:rsid w:val="799E7491"/>
    <w:rsid w:val="799F3F47"/>
    <w:rsid w:val="79A72484"/>
    <w:rsid w:val="79BA471D"/>
    <w:rsid w:val="79DF005F"/>
    <w:rsid w:val="79E028EC"/>
    <w:rsid w:val="7A114E8A"/>
    <w:rsid w:val="7A1C5B1C"/>
    <w:rsid w:val="7A233119"/>
    <w:rsid w:val="7A2D6C9D"/>
    <w:rsid w:val="7A317E7E"/>
    <w:rsid w:val="7A3D2BFF"/>
    <w:rsid w:val="7A4653BA"/>
    <w:rsid w:val="7A561B0C"/>
    <w:rsid w:val="7A765EEC"/>
    <w:rsid w:val="7A773B5D"/>
    <w:rsid w:val="7A790CA9"/>
    <w:rsid w:val="7AB0523D"/>
    <w:rsid w:val="7AB83F1D"/>
    <w:rsid w:val="7AD234FC"/>
    <w:rsid w:val="7AD86C9B"/>
    <w:rsid w:val="7ADD6AF4"/>
    <w:rsid w:val="7AE2061C"/>
    <w:rsid w:val="7AF937F5"/>
    <w:rsid w:val="7B002131"/>
    <w:rsid w:val="7B0864F6"/>
    <w:rsid w:val="7B1B16D3"/>
    <w:rsid w:val="7B2E6780"/>
    <w:rsid w:val="7B5D217A"/>
    <w:rsid w:val="7B614801"/>
    <w:rsid w:val="7B684A54"/>
    <w:rsid w:val="7B913B86"/>
    <w:rsid w:val="7B97422A"/>
    <w:rsid w:val="7BA969F0"/>
    <w:rsid w:val="7BB31B68"/>
    <w:rsid w:val="7BDC6155"/>
    <w:rsid w:val="7C071C5F"/>
    <w:rsid w:val="7C1311BA"/>
    <w:rsid w:val="7C194469"/>
    <w:rsid w:val="7C1A6CD5"/>
    <w:rsid w:val="7C2630F4"/>
    <w:rsid w:val="7C3A066B"/>
    <w:rsid w:val="7C45471C"/>
    <w:rsid w:val="7C7E27D3"/>
    <w:rsid w:val="7C7F3629"/>
    <w:rsid w:val="7C8775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DF5C58"/>
    <w:rsid w:val="7DF46E1B"/>
    <w:rsid w:val="7E0464CE"/>
    <w:rsid w:val="7E202324"/>
    <w:rsid w:val="7E2C2660"/>
    <w:rsid w:val="7E476D34"/>
    <w:rsid w:val="7E6D6DAE"/>
    <w:rsid w:val="7E6F3FB2"/>
    <w:rsid w:val="7E957586"/>
    <w:rsid w:val="7E9A24C3"/>
    <w:rsid w:val="7E9B11AA"/>
    <w:rsid w:val="7E9B3B6E"/>
    <w:rsid w:val="7EA32AD0"/>
    <w:rsid w:val="7ED55007"/>
    <w:rsid w:val="7ED953E3"/>
    <w:rsid w:val="7EF765D0"/>
    <w:rsid w:val="7EF87C96"/>
    <w:rsid w:val="7F086927"/>
    <w:rsid w:val="7F215D8A"/>
    <w:rsid w:val="7F301B1E"/>
    <w:rsid w:val="7F375D0A"/>
    <w:rsid w:val="7F500CBA"/>
    <w:rsid w:val="7F587DE1"/>
    <w:rsid w:val="7F61016D"/>
    <w:rsid w:val="7F663DC2"/>
    <w:rsid w:val="7F6D28E2"/>
    <w:rsid w:val="7F820D78"/>
    <w:rsid w:val="7F833806"/>
    <w:rsid w:val="7F935AA2"/>
    <w:rsid w:val="7FA51E6D"/>
    <w:rsid w:val="7FC76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semiHidden="0" w:name="Table Web 3"/>
    <w:lsdException w:qFormat="1" w:uiPriority="99" w:semiHidden="0" w:name="Balloon Text"/>
    <w:lsdException w:qFormat="1" w:unhideWhenUsed="0" w:uiPriority="0" w:semiHidden="0" w:name="Table Grid"/>
    <w:lsdException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5"/>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6"/>
    <w:qFormat/>
    <w:uiPriority w:val="9"/>
    <w:pPr>
      <w:numPr>
        <w:ilvl w:val="2"/>
      </w:numPr>
      <w:tabs>
        <w:tab w:val="left" w:pos="720"/>
      </w:tabs>
      <w:spacing w:line="416" w:lineRule="auto"/>
      <w:outlineLvl w:val="2"/>
    </w:pPr>
    <w:rPr>
      <w:szCs w:val="32"/>
    </w:rPr>
  </w:style>
  <w:style w:type="paragraph" w:styleId="5">
    <w:name w:val="heading 4"/>
    <w:basedOn w:val="1"/>
    <w:next w:val="1"/>
    <w:qFormat/>
    <w:uiPriority w:val="9"/>
    <w:pPr>
      <w:numPr>
        <w:ilvl w:val="3"/>
        <w:numId w:val="1"/>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6"/>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1"/>
    <w:unhideWhenUsed/>
    <w:qFormat/>
    <w:uiPriority w:val="0"/>
    <w:rPr>
      <w:szCs w:val="20"/>
    </w:rPr>
  </w:style>
  <w:style w:type="paragraph" w:styleId="15">
    <w:name w:val="Body Text"/>
    <w:basedOn w:val="1"/>
    <w:link w:val="52"/>
    <w:qFormat/>
    <w:uiPriority w:val="0"/>
    <w:pPr>
      <w:widowControl w:val="0"/>
      <w:spacing w:after="0" w:line="240" w:lineRule="auto"/>
      <w:jc w:val="both"/>
    </w:pPr>
    <w:rPr>
      <w:color w:val="0000FF"/>
      <w:kern w:val="2"/>
      <w:sz w:val="21"/>
      <w:szCs w:val="20"/>
    </w:rPr>
  </w:style>
  <w:style w:type="paragraph" w:styleId="16">
    <w:name w:val="Balloon Text"/>
    <w:basedOn w:val="1"/>
    <w:link w:val="3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7"/>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9"/>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8"/>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批注框文本 Char"/>
    <w:link w:val="16"/>
    <w:semiHidden/>
    <w:qFormat/>
    <w:uiPriority w:val="99"/>
    <w:rPr>
      <w:rFonts w:ascii="Tahoma" w:hAnsi="Tahoma" w:cs="Tahoma"/>
      <w:sz w:val="16"/>
      <w:szCs w:val="16"/>
    </w:rPr>
  </w:style>
  <w:style w:type="character" w:customStyle="1" w:styleId="35">
    <w:name w:val="标题 1 Char"/>
    <w:link w:val="2"/>
    <w:qFormat/>
    <w:uiPriority w:val="99"/>
    <w:rPr>
      <w:rFonts w:ascii="Arial" w:hAnsi="Arial" w:eastAsia="黑体"/>
      <w:b/>
      <w:bCs/>
      <w:sz w:val="30"/>
      <w:szCs w:val="30"/>
      <w:lang w:val="zh-CN"/>
    </w:rPr>
  </w:style>
  <w:style w:type="character" w:customStyle="1" w:styleId="36">
    <w:name w:val="标题 3 Char"/>
    <w:link w:val="4"/>
    <w:qFormat/>
    <w:uiPriority w:val="9"/>
    <w:rPr>
      <w:b/>
      <w:bCs/>
      <w:sz w:val="32"/>
      <w:szCs w:val="32"/>
    </w:rPr>
  </w:style>
  <w:style w:type="character" w:customStyle="1" w:styleId="37">
    <w:name w:val="页眉 Char"/>
    <w:link w:val="18"/>
    <w:qFormat/>
    <w:uiPriority w:val="0"/>
    <w:rPr>
      <w:rFonts w:ascii="Arial" w:hAnsi="Arial" w:eastAsia="MS Mincho"/>
      <w:b/>
      <w:szCs w:val="24"/>
      <w:lang w:eastAsia="en-US"/>
    </w:rPr>
  </w:style>
  <w:style w:type="character" w:customStyle="1" w:styleId="38">
    <w:name w:val="批注主题 Char"/>
    <w:link w:val="22"/>
    <w:semiHidden/>
    <w:qFormat/>
    <w:uiPriority w:val="99"/>
    <w:rPr>
      <w:b/>
      <w:bCs/>
    </w:rPr>
  </w:style>
  <w:style w:type="character" w:customStyle="1" w:styleId="39">
    <w:name w:val="脚注文本 Char"/>
    <w:link w:val="20"/>
    <w:semiHidden/>
    <w:qFormat/>
    <w:uiPriority w:val="0"/>
    <w:rPr>
      <w:rFonts w:ascii="Times" w:hAnsi="Times" w:eastAsia="Batang"/>
      <w:lang w:eastAsia="en-US"/>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szCs w:val="20"/>
      <w:lang w:val="en-GB" w:eastAsia="en-US"/>
    </w:rPr>
  </w:style>
  <w:style w:type="character" w:customStyle="1" w:styleId="42">
    <w:name w:val="TAC Char"/>
    <w:link w:val="43"/>
    <w:qFormat/>
    <w:uiPriority w:val="0"/>
    <w:rPr>
      <w:rFonts w:ascii="Arial" w:hAnsi="Arial" w:eastAsia="Times New Roman"/>
      <w:sz w:val="18"/>
      <w:lang w:val="en-GB" w:eastAsia="en-GB"/>
    </w:rPr>
  </w:style>
  <w:style w:type="paragraph" w:customStyle="1" w:styleId="43">
    <w:name w:val="TAC"/>
    <w:basedOn w:val="44"/>
    <w:link w:val="42"/>
    <w:qFormat/>
    <w:uiPriority w:val="0"/>
    <w:pPr>
      <w:overflowPunct w:val="0"/>
      <w:autoSpaceDE w:val="0"/>
      <w:autoSpaceDN w:val="0"/>
      <w:adjustRightInd w:val="0"/>
      <w:jc w:val="center"/>
      <w:textAlignment w:val="baseline"/>
    </w:pPr>
    <w:rPr>
      <w:rFonts w:eastAsia="Times New Roman"/>
      <w:lang w:eastAsia="en-GB"/>
    </w:rPr>
  </w:style>
  <w:style w:type="paragraph" w:customStyle="1" w:styleId="44">
    <w:name w:val="TAL"/>
    <w:basedOn w:val="1"/>
    <w:qFormat/>
    <w:uiPriority w:val="0"/>
    <w:pPr>
      <w:keepNext/>
      <w:keepLines/>
      <w:spacing w:after="0" w:line="240" w:lineRule="auto"/>
    </w:pPr>
    <w:rPr>
      <w:rFonts w:ascii="Arial" w:hAnsi="Arial"/>
      <w:sz w:val="18"/>
      <w:szCs w:val="20"/>
      <w:lang w:val="en-GB" w:eastAsia="en-US"/>
    </w:rPr>
  </w:style>
  <w:style w:type="character" w:customStyle="1" w:styleId="45">
    <w:name w:val="apple-converted-space"/>
    <w:basedOn w:val="26"/>
    <w:qFormat/>
    <w:uiPriority w:val="0"/>
  </w:style>
  <w:style w:type="character" w:customStyle="1" w:styleId="46">
    <w:name w:val="题注 Char"/>
    <w:link w:val="12"/>
    <w:qFormat/>
    <w:uiPriority w:val="0"/>
    <w:rPr>
      <w:rFonts w:ascii="Times New Roman" w:hAnsi="Times New Roman"/>
      <w:b/>
      <w:bCs/>
      <w:lang w:val="en-GB" w:eastAsia="sv-SE"/>
    </w:rPr>
  </w:style>
  <w:style w:type="character" w:customStyle="1" w:styleId="47">
    <w:name w:val="B1 (文字)"/>
    <w:link w:val="48"/>
    <w:qFormat/>
    <w:locked/>
    <w:uiPriority w:val="99"/>
    <w:rPr>
      <w:rFonts w:ascii="Times New Roman" w:hAnsi="Times New Roman" w:eastAsia="宋体"/>
      <w:lang w:val="en-GB" w:eastAsia="en-US"/>
    </w:rPr>
  </w:style>
  <w:style w:type="paragraph" w:customStyle="1" w:styleId="48">
    <w:name w:val="B1"/>
    <w:basedOn w:val="19"/>
    <w:link w:val="47"/>
    <w:qFormat/>
    <w:uiPriority w:val="0"/>
    <w:pPr>
      <w:spacing w:after="180" w:line="240" w:lineRule="auto"/>
      <w:ind w:left="568" w:hanging="284" w:firstLineChars="0"/>
    </w:pPr>
    <w:rPr>
      <w:szCs w:val="20"/>
      <w:lang w:val="en-GB" w:eastAsia="en-US"/>
    </w:rPr>
  </w:style>
  <w:style w:type="character" w:customStyle="1" w:styleId="49">
    <w:name w:val="main text Char"/>
    <w:link w:val="50"/>
    <w:qFormat/>
    <w:uiPriority w:val="0"/>
    <w:rPr>
      <w:rFonts w:ascii="Times New Roman" w:hAnsi="Times New Roman" w:eastAsia="Malgun Gothic"/>
      <w:lang w:val="en-GB" w:eastAsia="ko-KR"/>
    </w:rPr>
  </w:style>
  <w:style w:type="paragraph" w:customStyle="1" w:styleId="50">
    <w:name w:val="main text"/>
    <w:basedOn w:val="1"/>
    <w:link w:val="49"/>
    <w:qFormat/>
    <w:uiPriority w:val="0"/>
    <w:pPr>
      <w:spacing w:before="60" w:after="60" w:line="288" w:lineRule="auto"/>
      <w:ind w:firstLine="200" w:firstLineChars="200"/>
      <w:jc w:val="both"/>
    </w:pPr>
    <w:rPr>
      <w:rFonts w:eastAsia="Malgun Gothic"/>
      <w:szCs w:val="20"/>
      <w:lang w:val="en-GB" w:eastAsia="ko-KR"/>
    </w:rPr>
  </w:style>
  <w:style w:type="character" w:customStyle="1" w:styleId="51">
    <w:name w:val="批注文字 Char"/>
    <w:basedOn w:val="26"/>
    <w:link w:val="14"/>
    <w:qFormat/>
    <w:uiPriority w:val="0"/>
  </w:style>
  <w:style w:type="character" w:customStyle="1" w:styleId="52">
    <w:name w:val="正文文本 Char"/>
    <w:link w:val="15"/>
    <w:qFormat/>
    <w:uiPriority w:val="0"/>
    <w:rPr>
      <w:rFonts w:ascii="Times New Roman" w:hAnsi="Times New Roman"/>
      <w:color w:val="0000FF"/>
      <w:kern w:val="2"/>
      <w:sz w:val="21"/>
    </w:rPr>
  </w:style>
  <w:style w:type="character" w:customStyle="1" w:styleId="53">
    <w:name w:val="def"/>
    <w:basedOn w:val="26"/>
    <w:qFormat/>
    <w:uiPriority w:val="0"/>
  </w:style>
  <w:style w:type="character" w:customStyle="1" w:styleId="54">
    <w:name w:val="中等深浅网格 1 - 强调文字颜色 2 Char"/>
    <w:qFormat/>
    <w:locked/>
    <w:uiPriority w:val="34"/>
    <w:rPr>
      <w:rFonts w:ascii="Times New Roman" w:hAnsi="Times New Roman"/>
      <w:kern w:val="2"/>
      <w:sz w:val="21"/>
      <w:szCs w:val="24"/>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文档结构图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3"/>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1"/>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50"/>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列表段落1"/>
    <w:basedOn w:val="1"/>
    <w:qFormat/>
    <w:uiPriority w:val="0"/>
    <w:pPr>
      <w:autoSpaceDE w:val="0"/>
      <w:autoSpaceDN w:val="0"/>
      <w:adjustRightInd w:val="0"/>
      <w:snapToGrid w:val="0"/>
      <w:spacing w:before="100" w:beforeAutospacing="1" w:after="120" w:line="240" w:lineRule="auto"/>
      <w:ind w:firstLine="420" w:firstLineChars="200"/>
      <w:jc w:val="both"/>
    </w:pPr>
    <w:rPr>
      <w:rFonts w:eastAsia="宋体"/>
      <w:sz w:val="22"/>
    </w:rPr>
  </w:style>
  <w:style w:type="paragraph" w:customStyle="1" w:styleId="125">
    <w:name w:val="_Style 124"/>
    <w:basedOn w:val="1"/>
    <w:next w:val="111"/>
    <w:qFormat/>
    <w:uiPriority w:val="34"/>
    <w:pPr>
      <w:overflowPunct w:val="0"/>
      <w:autoSpaceDE w:val="0"/>
      <w:autoSpaceDN w:val="0"/>
      <w:adjustRightInd w:val="0"/>
      <w:spacing w:after="180" w:line="240" w:lineRule="auto"/>
      <w:ind w:firstLine="420" w:firstLineChars="200"/>
      <w:textAlignment w:val="baseline"/>
    </w:pPr>
    <w:rPr>
      <w:rFonts w:eastAsia="宋体"/>
      <w:szCs w:val="20"/>
      <w:lang w:val="en-GB" w:eastAsia="ja-JP"/>
    </w:rPr>
  </w:style>
  <w:style w:type="paragraph" w:customStyle="1" w:styleId="126">
    <w:name w:val="enumlev1"/>
    <w:basedOn w:val="1"/>
    <w:link w:val="127"/>
    <w:qFormat/>
    <w:uiPriority w:val="0"/>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eastAsiaTheme="minorEastAsia"/>
      <w:sz w:val="24"/>
      <w:szCs w:val="20"/>
      <w:lang w:val="en-GB" w:eastAsia="en-US"/>
    </w:rPr>
  </w:style>
  <w:style w:type="character" w:customStyle="1" w:styleId="127">
    <w:name w:val="enumlev1 Char"/>
    <w:basedOn w:val="26"/>
    <w:link w:val="126"/>
    <w:qFormat/>
    <w:uiPriority w:val="0"/>
    <w:rPr>
      <w:rFonts w:eastAsiaTheme="minorEastAsia"/>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93D04C-8F91-422A-A5A3-98251AFCA1E2}">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9</Pages>
  <Words>2391</Words>
  <Characters>13631</Characters>
  <Lines>113</Lines>
  <Paragraphs>31</Paragraphs>
  <TotalTime>1</TotalTime>
  <ScaleCrop>false</ScaleCrop>
  <LinksUpToDate>false</LinksUpToDate>
  <CharactersWithSpaces>15991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2024-11-19T07:10:00Z</dcterms:created>
  <dc:creator>ZTE</dc:creator>
  <cp:lastModifiedBy>蒋创新</cp:lastModifiedBy>
  <dcterms:modified xsi:type="dcterms:W3CDTF">2024-11-30T11:25:59Z</dcterms:modified>
  <dc:title>3GPP TSG-RAN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81EBC64F3A304C4BA9895627E5382FFE</vt:lpwstr>
  </property>
</Properties>
</file>